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5CDDE" w14:textId="0BE7DD2E" w:rsidR="00E41C29" w:rsidRPr="00C80BEE" w:rsidRDefault="008C3B6A" w:rsidP="008C3B6A">
      <w:pPr>
        <w:jc w:val="center"/>
        <w:rPr>
          <w:rFonts w:ascii="黑体" w:eastAsia="黑体" w:hAnsi="黑体"/>
          <w:b/>
          <w:bCs/>
          <w:sz w:val="28"/>
          <w:szCs w:val="32"/>
        </w:rPr>
      </w:pPr>
      <w:bookmarkStart w:id="0" w:name="OLE_LINK1"/>
      <w:bookmarkStart w:id="1" w:name="OLE_LINK2"/>
      <w:r w:rsidRPr="00C80BEE">
        <w:rPr>
          <w:rFonts w:ascii="黑体" w:eastAsia="黑体" w:hAnsi="黑体"/>
          <w:b/>
          <w:bCs/>
          <w:sz w:val="28"/>
          <w:szCs w:val="32"/>
        </w:rPr>
        <w:t>2021年</w:t>
      </w:r>
      <w:r w:rsidRPr="00C80BEE">
        <w:rPr>
          <w:rFonts w:ascii="黑体" w:eastAsia="黑体" w:hAnsi="黑体" w:hint="eastAsia"/>
          <w:b/>
          <w:bCs/>
          <w:sz w:val="28"/>
          <w:szCs w:val="32"/>
        </w:rPr>
        <w:t>未来科技城</w:t>
      </w:r>
      <w:r w:rsidR="00485D49" w:rsidRPr="00C80BEE">
        <w:rPr>
          <w:rFonts w:ascii="黑体" w:eastAsia="黑体" w:hAnsi="黑体" w:hint="eastAsia"/>
          <w:b/>
          <w:bCs/>
          <w:sz w:val="28"/>
          <w:szCs w:val="32"/>
        </w:rPr>
        <w:t>“未来之星”</w:t>
      </w:r>
      <w:r w:rsidRPr="00C80BEE">
        <w:rPr>
          <w:rFonts w:ascii="黑体" w:eastAsia="黑体" w:hAnsi="黑体"/>
          <w:b/>
          <w:bCs/>
          <w:sz w:val="28"/>
          <w:szCs w:val="32"/>
        </w:rPr>
        <w:t>榜单</w:t>
      </w:r>
      <w:r w:rsidRPr="00C80BEE">
        <w:rPr>
          <w:rFonts w:ascii="黑体" w:eastAsia="黑体" w:hAnsi="黑体" w:hint="eastAsia"/>
          <w:b/>
          <w:bCs/>
          <w:sz w:val="28"/>
          <w:szCs w:val="32"/>
        </w:rPr>
        <w:t>来了</w:t>
      </w:r>
    </w:p>
    <w:p w14:paraId="5474C130" w14:textId="4BB7E005" w:rsidR="00485D49" w:rsidRPr="00C80BEE" w:rsidRDefault="00485D49" w:rsidP="00485D49">
      <w:pPr>
        <w:rPr>
          <w:rFonts w:ascii="宋体" w:eastAsia="宋体" w:hAnsi="宋体" w:cs="Times New Roman"/>
          <w:b/>
          <w:bCs/>
          <w:sz w:val="24"/>
          <w:szCs w:val="24"/>
        </w:rPr>
      </w:pPr>
    </w:p>
    <w:p w14:paraId="6819EAD1" w14:textId="4B0DC623" w:rsidR="00485D49" w:rsidRPr="00C80BEE" w:rsidRDefault="00485D49" w:rsidP="00485D49">
      <w:pPr>
        <w:ind w:firstLineChars="202" w:firstLine="485"/>
        <w:rPr>
          <w:rFonts w:ascii="Times New Roman" w:eastAsia="仿宋_GB2312" w:hAnsi="Times New Roman" w:cs="Times New Roman"/>
          <w:sz w:val="24"/>
          <w:szCs w:val="24"/>
        </w:rPr>
      </w:pPr>
      <w:r w:rsidRPr="00C80BEE">
        <w:rPr>
          <w:rFonts w:ascii="Times New Roman" w:eastAsia="仿宋_GB2312" w:hAnsi="Times New Roman" w:cs="Times New Roman" w:hint="eastAsia"/>
          <w:sz w:val="24"/>
          <w:szCs w:val="24"/>
        </w:rPr>
        <w:t>2</w:t>
      </w:r>
      <w:r w:rsidRPr="00C80BEE">
        <w:rPr>
          <w:rFonts w:ascii="Times New Roman" w:eastAsia="仿宋_GB2312" w:hAnsi="Times New Roman" w:cs="Times New Roman"/>
          <w:sz w:val="24"/>
          <w:szCs w:val="24"/>
        </w:rPr>
        <w:t>021</w:t>
      </w:r>
      <w:r w:rsidRPr="00C80BEE">
        <w:rPr>
          <w:rFonts w:ascii="Times New Roman" w:eastAsia="仿宋_GB2312" w:hAnsi="Times New Roman" w:cs="Times New Roman" w:hint="eastAsia"/>
          <w:sz w:val="24"/>
          <w:szCs w:val="24"/>
        </w:rPr>
        <w:t>年是杭州未来科技城大发展的一年，涌现了大批优质科创企业，这些企业在融资和发展方面，也交出了一份让人喜悦的答卷。</w:t>
      </w:r>
    </w:p>
    <w:p w14:paraId="6A771922" w14:textId="325BD259" w:rsidR="00485D49" w:rsidRPr="00C80BEE" w:rsidRDefault="00485D49" w:rsidP="00485D49">
      <w:pPr>
        <w:ind w:firstLineChars="202" w:firstLine="485"/>
        <w:rPr>
          <w:rFonts w:ascii="Times New Roman" w:eastAsia="仿宋_GB2312" w:hAnsi="Times New Roman" w:cs="Times New Roman"/>
          <w:sz w:val="24"/>
          <w:szCs w:val="24"/>
        </w:rPr>
      </w:pPr>
      <w:r w:rsidRPr="00C80BEE">
        <w:rPr>
          <w:rFonts w:ascii="Times New Roman" w:eastAsia="仿宋_GB2312" w:hAnsi="Times New Roman" w:cs="Times New Roman" w:hint="eastAsia"/>
          <w:sz w:val="24"/>
          <w:szCs w:val="24"/>
        </w:rPr>
        <w:t>根据浙股交融资数据库显示，</w:t>
      </w:r>
      <w:r w:rsidRPr="00C80BEE">
        <w:rPr>
          <w:rFonts w:ascii="Times New Roman" w:eastAsia="仿宋_GB2312" w:hAnsi="Times New Roman" w:cs="Times New Roman" w:hint="eastAsia"/>
          <w:sz w:val="24"/>
          <w:szCs w:val="24"/>
        </w:rPr>
        <w:t>2</w:t>
      </w:r>
      <w:r w:rsidRPr="00C80BEE">
        <w:rPr>
          <w:rFonts w:ascii="Times New Roman" w:eastAsia="仿宋_GB2312" w:hAnsi="Times New Roman" w:cs="Times New Roman"/>
          <w:sz w:val="24"/>
          <w:szCs w:val="24"/>
        </w:rPr>
        <w:t>021</w:t>
      </w:r>
      <w:r w:rsidRPr="00C80BEE">
        <w:rPr>
          <w:rFonts w:ascii="Times New Roman" w:eastAsia="仿宋_GB2312" w:hAnsi="Times New Roman" w:cs="Times New Roman" w:hint="eastAsia"/>
          <w:sz w:val="24"/>
          <w:szCs w:val="24"/>
        </w:rPr>
        <w:t>年</w:t>
      </w:r>
      <w:r w:rsidRPr="00C80BEE">
        <w:rPr>
          <w:rFonts w:ascii="Times New Roman" w:eastAsia="仿宋_GB2312" w:hAnsi="Times New Roman" w:cs="Times New Roman"/>
          <w:sz w:val="24"/>
          <w:szCs w:val="24"/>
        </w:rPr>
        <w:t>未来科技城辖内共发生了</w:t>
      </w:r>
      <w:r w:rsidRPr="00C80BEE">
        <w:rPr>
          <w:rFonts w:ascii="Times New Roman" w:eastAsia="仿宋_GB2312" w:hAnsi="Times New Roman" w:cs="Times New Roman"/>
          <w:sz w:val="24"/>
          <w:szCs w:val="24"/>
        </w:rPr>
        <w:t>234</w:t>
      </w:r>
      <w:r w:rsidRPr="00C80BEE">
        <w:rPr>
          <w:rFonts w:ascii="Times New Roman" w:eastAsia="仿宋_GB2312" w:hAnsi="Times New Roman" w:cs="Times New Roman"/>
          <w:sz w:val="24"/>
          <w:szCs w:val="24"/>
        </w:rPr>
        <w:t>起融资事件，涉及</w:t>
      </w:r>
      <w:r w:rsidRPr="00C80BEE">
        <w:rPr>
          <w:rFonts w:ascii="Times New Roman" w:eastAsia="仿宋_GB2312" w:hAnsi="Times New Roman" w:cs="Times New Roman"/>
          <w:sz w:val="24"/>
          <w:szCs w:val="24"/>
        </w:rPr>
        <w:t>201</w:t>
      </w:r>
      <w:r w:rsidRPr="00C80BEE">
        <w:rPr>
          <w:rFonts w:ascii="Times New Roman" w:eastAsia="仿宋_GB2312" w:hAnsi="Times New Roman" w:cs="Times New Roman"/>
          <w:sz w:val="24"/>
          <w:szCs w:val="24"/>
        </w:rPr>
        <w:t>家企业</w:t>
      </w:r>
      <w:r w:rsidRPr="00C80BEE">
        <w:rPr>
          <w:rFonts w:ascii="Times New Roman" w:eastAsia="仿宋_GB2312" w:hAnsi="Times New Roman" w:cs="Times New Roman" w:hint="eastAsia"/>
          <w:sz w:val="24"/>
          <w:szCs w:val="24"/>
        </w:rPr>
        <w:t>，融资额度不少于</w:t>
      </w:r>
      <w:r w:rsidRPr="00C80BEE">
        <w:rPr>
          <w:rFonts w:ascii="Times New Roman" w:eastAsia="仿宋_GB2312" w:hAnsi="Times New Roman" w:cs="Times New Roman"/>
          <w:sz w:val="24"/>
          <w:szCs w:val="24"/>
        </w:rPr>
        <w:t>150</w:t>
      </w:r>
      <w:r w:rsidRPr="00C80BEE">
        <w:rPr>
          <w:rFonts w:ascii="Times New Roman" w:eastAsia="仿宋_GB2312" w:hAnsi="Times New Roman" w:cs="Times New Roman" w:hint="eastAsia"/>
          <w:sz w:val="24"/>
          <w:szCs w:val="24"/>
        </w:rPr>
        <w:t>亿，占余杭区融资企业数量的</w:t>
      </w:r>
      <w:r w:rsidRPr="00C80BEE">
        <w:rPr>
          <w:rFonts w:ascii="Times New Roman" w:eastAsia="仿宋_GB2312" w:hAnsi="Times New Roman" w:cs="Times New Roman"/>
          <w:sz w:val="24"/>
          <w:szCs w:val="24"/>
        </w:rPr>
        <w:t>83.4</w:t>
      </w:r>
      <w:r w:rsidRPr="00C80BEE">
        <w:rPr>
          <w:rFonts w:ascii="Times New Roman" w:eastAsia="仿宋_GB2312" w:hAnsi="Times New Roman" w:cs="Times New Roman" w:hint="eastAsia"/>
          <w:sz w:val="24"/>
          <w:szCs w:val="24"/>
        </w:rPr>
        <w:t>%</w:t>
      </w:r>
      <w:r w:rsidRPr="00C80BEE">
        <w:rPr>
          <w:rFonts w:ascii="Times New Roman" w:eastAsia="仿宋_GB2312" w:hAnsi="Times New Roman" w:cs="Times New Roman" w:hint="eastAsia"/>
          <w:sz w:val="24"/>
          <w:szCs w:val="24"/>
        </w:rPr>
        <w:t>，</w:t>
      </w:r>
      <w:r w:rsidRPr="00C80BEE">
        <w:rPr>
          <w:rFonts w:ascii="Times New Roman" w:eastAsia="仿宋_GB2312" w:hAnsi="Times New Roman" w:cs="Times New Roman"/>
          <w:sz w:val="24"/>
          <w:szCs w:val="24"/>
        </w:rPr>
        <w:t>占整个杭州市融资企业数量的</w:t>
      </w:r>
      <w:r w:rsidRPr="00C80BEE">
        <w:rPr>
          <w:rFonts w:ascii="Times New Roman" w:eastAsia="仿宋_GB2312" w:hAnsi="Times New Roman" w:cs="Times New Roman"/>
          <w:sz w:val="24"/>
          <w:szCs w:val="24"/>
        </w:rPr>
        <w:t>18.41%</w:t>
      </w:r>
      <w:r w:rsidRPr="00C80BEE">
        <w:rPr>
          <w:rFonts w:ascii="Times New Roman" w:eastAsia="仿宋_GB2312" w:hAnsi="Times New Roman" w:cs="Times New Roman" w:hint="eastAsia"/>
          <w:sz w:val="24"/>
          <w:szCs w:val="24"/>
        </w:rPr>
        <w:t>。</w:t>
      </w:r>
    </w:p>
    <w:p w14:paraId="5EE68DED" w14:textId="14B88776" w:rsidR="00485D49" w:rsidRPr="00C80BEE" w:rsidRDefault="00485D49" w:rsidP="00485D49">
      <w:pPr>
        <w:spacing w:line="360" w:lineRule="auto"/>
        <w:ind w:firstLine="420"/>
        <w:rPr>
          <w:rFonts w:ascii="Times New Roman" w:eastAsia="仿宋_GB2312" w:hAnsi="Times New Roman" w:cs="Times New Roman"/>
          <w:sz w:val="24"/>
          <w:szCs w:val="24"/>
        </w:rPr>
      </w:pPr>
      <w:r w:rsidRPr="00C80BEE">
        <w:rPr>
          <w:rFonts w:ascii="Times New Roman" w:eastAsia="仿宋_GB2312" w:hAnsi="Times New Roman" w:cs="Times New Roman" w:hint="eastAsia"/>
          <w:sz w:val="24"/>
          <w:szCs w:val="24"/>
        </w:rPr>
        <w:t>从企业轮次上看，</w:t>
      </w:r>
      <w:r w:rsidRPr="00C80BEE">
        <w:rPr>
          <w:rFonts w:ascii="Times New Roman" w:eastAsia="仿宋_GB2312" w:hAnsi="Times New Roman" w:cs="Times New Roman"/>
          <w:sz w:val="24"/>
          <w:szCs w:val="24"/>
        </w:rPr>
        <w:t>未来科技城辖内</w:t>
      </w:r>
      <w:r w:rsidRPr="00C80BEE">
        <w:rPr>
          <w:rFonts w:ascii="Times New Roman" w:eastAsia="仿宋_GB2312" w:hAnsi="Times New Roman" w:cs="Times New Roman"/>
          <w:sz w:val="24"/>
          <w:szCs w:val="24"/>
        </w:rPr>
        <w:t>201</w:t>
      </w:r>
      <w:r w:rsidRPr="00C80BEE">
        <w:rPr>
          <w:rFonts w:ascii="Times New Roman" w:eastAsia="仿宋_GB2312" w:hAnsi="Times New Roman" w:cs="Times New Roman"/>
          <w:sz w:val="24"/>
          <w:szCs w:val="24"/>
        </w:rPr>
        <w:t>家</w:t>
      </w:r>
      <w:r w:rsidRPr="00C80BEE">
        <w:rPr>
          <w:rFonts w:ascii="Times New Roman" w:eastAsia="仿宋_GB2312" w:hAnsi="Times New Roman" w:cs="Times New Roman" w:hint="eastAsia"/>
          <w:sz w:val="24"/>
          <w:szCs w:val="24"/>
        </w:rPr>
        <w:t>融资</w:t>
      </w:r>
      <w:r w:rsidRPr="00C80BEE">
        <w:rPr>
          <w:rFonts w:ascii="Times New Roman" w:eastAsia="仿宋_GB2312" w:hAnsi="Times New Roman" w:cs="Times New Roman"/>
          <w:sz w:val="24"/>
          <w:szCs w:val="24"/>
        </w:rPr>
        <w:t>企业</w:t>
      </w:r>
      <w:r w:rsidRPr="00C80BEE">
        <w:rPr>
          <w:rFonts w:ascii="Times New Roman" w:eastAsia="仿宋_GB2312" w:hAnsi="Times New Roman" w:cs="Times New Roman" w:hint="eastAsia"/>
          <w:sz w:val="24"/>
          <w:szCs w:val="24"/>
        </w:rPr>
        <w:t>中</w:t>
      </w:r>
      <w:r w:rsidRPr="00C80BEE">
        <w:rPr>
          <w:rFonts w:ascii="Times New Roman" w:eastAsia="仿宋_GB2312" w:hAnsi="Times New Roman" w:cs="Times New Roman"/>
          <w:sz w:val="24"/>
          <w:szCs w:val="24"/>
        </w:rPr>
        <w:t>，以年内发生的最后一次融资为准，未来科技城企业融资轮次分布如下图：</w:t>
      </w:r>
    </w:p>
    <w:p w14:paraId="70D41E48" w14:textId="07A90C65" w:rsidR="00485D49" w:rsidRPr="00C80BEE" w:rsidRDefault="00485D49" w:rsidP="00485D49">
      <w:pPr>
        <w:rPr>
          <w:rFonts w:ascii="宋体" w:eastAsia="宋体" w:hAnsi="宋体" w:cs="Times New Roman"/>
          <w:b/>
          <w:bCs/>
          <w:sz w:val="24"/>
          <w:szCs w:val="24"/>
        </w:rPr>
      </w:pPr>
      <w:r w:rsidRPr="00C80BEE">
        <w:rPr>
          <w:noProof/>
          <w:sz w:val="20"/>
          <w:szCs w:val="21"/>
        </w:rPr>
        <w:drawing>
          <wp:inline distT="0" distB="0" distL="0" distR="0" wp14:anchorId="777C2190" wp14:editId="55D280EE">
            <wp:extent cx="5274310" cy="2776855"/>
            <wp:effectExtent l="0" t="0" r="2540" b="4445"/>
            <wp:docPr id="6" name="图表 6">
              <a:extLst xmlns:a="http://schemas.openxmlformats.org/drawingml/2006/main">
                <a:ext uri="{FF2B5EF4-FFF2-40B4-BE49-F238E27FC236}">
                  <a16:creationId xmlns:a16="http://schemas.microsoft.com/office/drawing/2014/main" id="{3C5C1CD7-04A1-4EFC-94DA-032425ACA73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B4D41AD" w14:textId="06BE2014" w:rsidR="00485D49" w:rsidRPr="00C80BEE" w:rsidRDefault="00485D49" w:rsidP="00485D49">
      <w:pPr>
        <w:rPr>
          <w:rFonts w:ascii="宋体" w:eastAsia="宋体" w:hAnsi="宋体" w:cs="Times New Roman"/>
          <w:b/>
          <w:bCs/>
          <w:sz w:val="24"/>
          <w:szCs w:val="24"/>
        </w:rPr>
      </w:pPr>
    </w:p>
    <w:p w14:paraId="701129C5" w14:textId="7EF69D01" w:rsidR="00485D49" w:rsidRPr="00C80BEE" w:rsidRDefault="00485D49" w:rsidP="00485D49">
      <w:pPr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 w:rsidRPr="00C80BEE">
        <w:rPr>
          <w:rFonts w:ascii="Times New Roman" w:eastAsia="仿宋_GB2312" w:hAnsi="Times New Roman" w:cs="Times New Roman"/>
          <w:sz w:val="24"/>
          <w:szCs w:val="24"/>
        </w:rPr>
        <w:t>从</w:t>
      </w:r>
      <w:r w:rsidRPr="00C80BEE">
        <w:rPr>
          <w:rFonts w:ascii="Times New Roman" w:eastAsia="仿宋_GB2312" w:hAnsi="Times New Roman" w:cs="Times New Roman"/>
          <w:sz w:val="24"/>
          <w:szCs w:val="24"/>
        </w:rPr>
        <w:t>2021</w:t>
      </w:r>
      <w:r w:rsidRPr="00C80BEE">
        <w:rPr>
          <w:rFonts w:ascii="Times New Roman" w:eastAsia="仿宋_GB2312" w:hAnsi="Times New Roman" w:cs="Times New Roman"/>
          <w:sz w:val="24"/>
          <w:szCs w:val="24"/>
        </w:rPr>
        <w:t>年未来科技城融资企业行业分布可以看出，</w:t>
      </w:r>
      <w:r w:rsidRPr="00C80BEE">
        <w:rPr>
          <w:rFonts w:ascii="Times New Roman" w:eastAsia="仿宋_GB2312" w:hAnsi="Times New Roman" w:cs="Times New Roman"/>
          <w:sz w:val="24"/>
          <w:szCs w:val="24"/>
        </w:rPr>
        <w:t>2021</w:t>
      </w:r>
      <w:r w:rsidRPr="00C80BEE">
        <w:rPr>
          <w:rFonts w:ascii="Times New Roman" w:eastAsia="仿宋_GB2312" w:hAnsi="Times New Roman" w:cs="Times New Roman"/>
          <w:sz w:val="24"/>
          <w:szCs w:val="24"/>
        </w:rPr>
        <w:t>年未来科技城融资企业中，有</w:t>
      </w:r>
      <w:r w:rsidRPr="00C80BEE">
        <w:rPr>
          <w:rFonts w:ascii="Times New Roman" w:eastAsia="仿宋_GB2312" w:hAnsi="Times New Roman" w:cs="Times New Roman"/>
          <w:sz w:val="24"/>
          <w:szCs w:val="24"/>
        </w:rPr>
        <w:t>50.72%</w:t>
      </w:r>
      <w:r w:rsidRPr="00C80BEE">
        <w:rPr>
          <w:rFonts w:ascii="Times New Roman" w:eastAsia="仿宋_GB2312" w:hAnsi="Times New Roman" w:cs="Times New Roman"/>
          <w:sz w:val="24"/>
          <w:szCs w:val="24"/>
        </w:rPr>
        <w:t>为科技、媒体和通信（</w:t>
      </w:r>
      <w:r w:rsidR="00C80BEE">
        <w:rPr>
          <w:rFonts w:ascii="Times New Roman" w:eastAsia="仿宋_GB2312" w:hAnsi="Times New Roman" w:cs="Times New Roman"/>
          <w:sz w:val="24"/>
          <w:szCs w:val="24"/>
        </w:rPr>
        <w:softHyphen/>
      </w:r>
      <w:r w:rsidR="00C80BEE">
        <w:rPr>
          <w:rFonts w:ascii="Times New Roman" w:eastAsia="仿宋_GB2312" w:hAnsi="Times New Roman" w:cs="Times New Roman"/>
          <w:sz w:val="24"/>
          <w:szCs w:val="24"/>
        </w:rPr>
        <w:softHyphen/>
      </w:r>
      <w:r w:rsidRPr="00C80BEE">
        <w:rPr>
          <w:rFonts w:ascii="Times New Roman" w:eastAsia="仿宋_GB2312" w:hAnsi="Times New Roman" w:cs="Times New Roman"/>
          <w:sz w:val="24"/>
          <w:szCs w:val="24"/>
        </w:rPr>
        <w:t>TMT</w:t>
      </w:r>
      <w:r w:rsidRPr="00C80BEE">
        <w:rPr>
          <w:rFonts w:ascii="Times New Roman" w:eastAsia="仿宋_GB2312" w:hAnsi="Times New Roman" w:cs="Times New Roman"/>
          <w:sz w:val="24"/>
          <w:szCs w:val="24"/>
        </w:rPr>
        <w:t>）行业企业，大健康行业企业占比为</w:t>
      </w:r>
      <w:r w:rsidRPr="00C80BEE">
        <w:rPr>
          <w:rFonts w:ascii="Times New Roman" w:eastAsia="仿宋_GB2312" w:hAnsi="Times New Roman" w:cs="Times New Roman"/>
          <w:sz w:val="24"/>
          <w:szCs w:val="24"/>
        </w:rPr>
        <w:t>17.91%</w:t>
      </w:r>
      <w:r w:rsidRPr="00C80BEE">
        <w:rPr>
          <w:rFonts w:ascii="Times New Roman" w:eastAsia="仿宋_GB2312" w:hAnsi="Times New Roman" w:cs="Times New Roman"/>
          <w:sz w:val="24"/>
          <w:szCs w:val="24"/>
        </w:rPr>
        <w:t>，新消费行业企业占比为</w:t>
      </w:r>
      <w:r w:rsidRPr="00C80BEE">
        <w:rPr>
          <w:rFonts w:ascii="Times New Roman" w:eastAsia="仿宋_GB2312" w:hAnsi="Times New Roman" w:cs="Times New Roman"/>
          <w:sz w:val="24"/>
          <w:szCs w:val="24"/>
        </w:rPr>
        <w:t>10.95%</w:t>
      </w:r>
      <w:r w:rsidRPr="00C80BEE">
        <w:rPr>
          <w:rFonts w:ascii="Times New Roman" w:eastAsia="仿宋_GB2312" w:hAnsi="Times New Roman" w:cs="Times New Roman"/>
          <w:sz w:val="24"/>
          <w:szCs w:val="24"/>
        </w:rPr>
        <w:t>，先进装备制造行业企业占比为</w:t>
      </w:r>
      <w:r w:rsidRPr="00C80BEE">
        <w:rPr>
          <w:rFonts w:ascii="Times New Roman" w:eastAsia="仿宋_GB2312" w:hAnsi="Times New Roman" w:cs="Times New Roman"/>
          <w:sz w:val="24"/>
          <w:szCs w:val="24"/>
        </w:rPr>
        <w:t>9.45%</w:t>
      </w:r>
      <w:r w:rsidRPr="00C80BEE">
        <w:rPr>
          <w:rFonts w:ascii="Times New Roman" w:eastAsia="仿宋_GB2312" w:hAnsi="Times New Roman" w:cs="Times New Roman"/>
          <w:sz w:val="24"/>
          <w:szCs w:val="24"/>
        </w:rPr>
        <w:t>。从融资企业行业分布可以看出，经过</w:t>
      </w:r>
      <w:r w:rsidRPr="00C80BEE">
        <w:rPr>
          <w:rFonts w:ascii="Times New Roman" w:eastAsia="仿宋_GB2312" w:hAnsi="Times New Roman" w:cs="Times New Roman" w:hint="eastAsia"/>
          <w:sz w:val="24"/>
          <w:szCs w:val="24"/>
        </w:rPr>
        <w:t>十多年</w:t>
      </w:r>
      <w:r w:rsidRPr="00C80BEE">
        <w:rPr>
          <w:rFonts w:ascii="Times New Roman" w:eastAsia="仿宋_GB2312" w:hAnsi="Times New Roman" w:cs="Times New Roman"/>
          <w:sz w:val="24"/>
          <w:szCs w:val="24"/>
        </w:rPr>
        <w:t>发展，数字经济在未来科技城具有</w:t>
      </w:r>
      <w:r w:rsidRPr="00C80BEE">
        <w:rPr>
          <w:rFonts w:ascii="Times New Roman" w:eastAsia="仿宋_GB2312" w:hAnsi="Times New Roman" w:cs="Times New Roman" w:hint="eastAsia"/>
          <w:sz w:val="24"/>
          <w:szCs w:val="24"/>
        </w:rPr>
        <w:t>非常强</w:t>
      </w:r>
      <w:r w:rsidRPr="00C80BEE">
        <w:rPr>
          <w:rFonts w:ascii="Times New Roman" w:eastAsia="仿宋_GB2312" w:hAnsi="Times New Roman" w:cs="Times New Roman"/>
          <w:sz w:val="24"/>
          <w:szCs w:val="24"/>
        </w:rPr>
        <w:t>的产业优势，</w:t>
      </w:r>
      <w:r w:rsidRPr="00C80BEE">
        <w:rPr>
          <w:rFonts w:ascii="Times New Roman" w:eastAsia="仿宋_GB2312" w:hAnsi="Times New Roman" w:cs="Times New Roman" w:hint="eastAsia"/>
          <w:sz w:val="24"/>
          <w:szCs w:val="24"/>
        </w:rPr>
        <w:t>这与未来科技城以数字经济为核心的产业布局契合</w:t>
      </w:r>
    </w:p>
    <w:p w14:paraId="46E164A6" w14:textId="06B11AB0" w:rsidR="00485D49" w:rsidRPr="00C80BEE" w:rsidRDefault="00485D49" w:rsidP="00485D49">
      <w:pPr>
        <w:rPr>
          <w:rFonts w:ascii="宋体" w:eastAsia="宋体" w:hAnsi="宋体" w:cs="Times New Roman"/>
          <w:b/>
          <w:bCs/>
          <w:sz w:val="24"/>
          <w:szCs w:val="24"/>
        </w:rPr>
      </w:pPr>
      <w:r w:rsidRPr="00C80BEE">
        <w:rPr>
          <w:rFonts w:ascii="Times New Roman" w:hAnsi="Times New Roman" w:cs="Times New Roman"/>
          <w:noProof/>
          <w:sz w:val="20"/>
          <w:szCs w:val="21"/>
        </w:rPr>
        <w:lastRenderedPageBreak/>
        <w:drawing>
          <wp:inline distT="0" distB="0" distL="0" distR="0" wp14:anchorId="5B6E7CCF" wp14:editId="38B6E80B">
            <wp:extent cx="4805917" cy="2870790"/>
            <wp:effectExtent l="0" t="0" r="0" b="6350"/>
            <wp:docPr id="20" name="图表 20">
              <a:extLst xmlns:a="http://schemas.openxmlformats.org/drawingml/2006/main">
                <a:ext uri="{FF2B5EF4-FFF2-40B4-BE49-F238E27FC236}">
                  <a16:creationId xmlns:a16="http://schemas.microsoft.com/office/drawing/2014/main" id="{F59DA21A-F6AD-4247-93A2-E23D5B0BDF5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359911A" w14:textId="0D5B1DCE" w:rsidR="00485D49" w:rsidRPr="00C80BEE" w:rsidRDefault="00485D49" w:rsidP="00485D49">
      <w:pPr>
        <w:rPr>
          <w:rFonts w:ascii="宋体" w:eastAsia="宋体" w:hAnsi="宋体" w:cs="Times New Roman"/>
          <w:b/>
          <w:bCs/>
          <w:sz w:val="24"/>
          <w:szCs w:val="24"/>
        </w:rPr>
      </w:pPr>
    </w:p>
    <w:p w14:paraId="7B93158A" w14:textId="482725DE" w:rsidR="00485D49" w:rsidRPr="00C80BEE" w:rsidRDefault="00485D49" w:rsidP="00485D49">
      <w:pPr>
        <w:rPr>
          <w:rFonts w:ascii="Times New Roman" w:eastAsia="仿宋_GB2312" w:hAnsi="Times New Roman" w:cs="Times New Roman"/>
          <w:sz w:val="24"/>
          <w:szCs w:val="24"/>
        </w:rPr>
      </w:pPr>
      <w:r w:rsidRPr="00C80BEE">
        <w:rPr>
          <w:rFonts w:ascii="Times New Roman" w:eastAsia="仿宋_GB2312" w:hAnsi="Times New Roman" w:cs="Times New Roman" w:hint="eastAsia"/>
          <w:sz w:val="24"/>
          <w:szCs w:val="24"/>
        </w:rPr>
        <w:t>在</w:t>
      </w:r>
      <w:r w:rsidRPr="00C80BEE">
        <w:rPr>
          <w:rFonts w:ascii="Times New Roman" w:eastAsia="仿宋_GB2312" w:hAnsi="Times New Roman" w:cs="Times New Roman" w:hint="eastAsia"/>
          <w:sz w:val="24"/>
          <w:szCs w:val="24"/>
        </w:rPr>
        <w:t>2</w:t>
      </w:r>
      <w:r w:rsidRPr="00C80BEE">
        <w:rPr>
          <w:rFonts w:ascii="Times New Roman" w:eastAsia="仿宋_GB2312" w:hAnsi="Times New Roman" w:cs="Times New Roman"/>
          <w:sz w:val="24"/>
          <w:szCs w:val="24"/>
        </w:rPr>
        <w:t>021</w:t>
      </w:r>
      <w:r w:rsidRPr="00C80BEE">
        <w:rPr>
          <w:rFonts w:ascii="Times New Roman" w:eastAsia="仿宋_GB2312" w:hAnsi="Times New Roman" w:cs="Times New Roman" w:hint="eastAsia"/>
          <w:sz w:val="24"/>
          <w:szCs w:val="24"/>
        </w:rPr>
        <w:t>年获得</w:t>
      </w:r>
      <w:r w:rsidR="000661C0" w:rsidRPr="00C80BEE">
        <w:rPr>
          <w:rFonts w:ascii="Times New Roman" w:eastAsia="仿宋_GB2312" w:hAnsi="Times New Roman" w:cs="Times New Roman" w:hint="eastAsia"/>
          <w:sz w:val="24"/>
          <w:szCs w:val="24"/>
        </w:rPr>
        <w:t>融资的企业中，我们遴选了</w:t>
      </w:r>
      <w:r w:rsidR="000661C0" w:rsidRPr="00C80BEE">
        <w:rPr>
          <w:rFonts w:ascii="Times New Roman" w:eastAsia="仿宋_GB2312" w:hAnsi="Times New Roman" w:cs="Times New Roman" w:hint="eastAsia"/>
          <w:sz w:val="24"/>
          <w:szCs w:val="24"/>
        </w:rPr>
        <w:t>1</w:t>
      </w:r>
      <w:r w:rsidR="000661C0" w:rsidRPr="00C80BEE">
        <w:rPr>
          <w:rFonts w:ascii="Times New Roman" w:eastAsia="仿宋_GB2312" w:hAnsi="Times New Roman" w:cs="Times New Roman"/>
          <w:sz w:val="24"/>
          <w:szCs w:val="24"/>
        </w:rPr>
        <w:t>0</w:t>
      </w:r>
      <w:r w:rsidR="000661C0" w:rsidRPr="00C80BEE">
        <w:rPr>
          <w:rFonts w:ascii="Times New Roman" w:eastAsia="仿宋_GB2312" w:hAnsi="Times New Roman" w:cs="Times New Roman" w:hint="eastAsia"/>
          <w:sz w:val="24"/>
          <w:szCs w:val="24"/>
        </w:rPr>
        <w:t>家科技属性强，未来发展潜力大的企业，作为</w:t>
      </w:r>
      <w:r w:rsidR="000661C0" w:rsidRPr="00C80BEE">
        <w:rPr>
          <w:rFonts w:ascii="Times New Roman" w:eastAsia="仿宋_GB2312" w:hAnsi="Times New Roman" w:cs="Times New Roman" w:hint="eastAsia"/>
          <w:sz w:val="24"/>
          <w:szCs w:val="24"/>
        </w:rPr>
        <w:t>2</w:t>
      </w:r>
      <w:r w:rsidR="000661C0" w:rsidRPr="00C80BEE">
        <w:rPr>
          <w:rFonts w:ascii="Times New Roman" w:eastAsia="仿宋_GB2312" w:hAnsi="Times New Roman" w:cs="Times New Roman"/>
          <w:sz w:val="24"/>
          <w:szCs w:val="24"/>
        </w:rPr>
        <w:t>021</w:t>
      </w:r>
      <w:r w:rsidR="000661C0" w:rsidRPr="00C80BEE">
        <w:rPr>
          <w:rFonts w:ascii="Times New Roman" w:eastAsia="仿宋_GB2312" w:hAnsi="Times New Roman" w:cs="Times New Roman" w:hint="eastAsia"/>
          <w:sz w:val="24"/>
          <w:szCs w:val="24"/>
        </w:rPr>
        <w:t>年度“未来之星”（最具发展潜力企业），榜单如下：</w:t>
      </w:r>
    </w:p>
    <w:p w14:paraId="2B5BD649" w14:textId="446CE948" w:rsidR="000661C0" w:rsidRPr="00C80BEE" w:rsidRDefault="000661C0" w:rsidP="00C80BEE">
      <w:pPr>
        <w:widowControl/>
        <w:jc w:val="left"/>
        <w:rPr>
          <w:rFonts w:ascii="Times New Roman" w:eastAsia="仿宋_GB2312" w:hAnsi="Times New Roman" w:cs="Times New Roman" w:hint="eastAsia"/>
          <w:sz w:val="24"/>
          <w:szCs w:val="24"/>
        </w:rPr>
      </w:pPr>
      <w:r w:rsidRPr="00C80BEE">
        <w:rPr>
          <w:rFonts w:ascii="Times New Roman" w:eastAsia="仿宋_GB2312" w:hAnsi="Times New Roman" w:cs="Times New Roman"/>
          <w:sz w:val="24"/>
          <w:szCs w:val="24"/>
        </w:rPr>
        <w:br w:type="page"/>
      </w:r>
    </w:p>
    <w:tbl>
      <w:tblPr>
        <w:tblW w:w="5576" w:type="pct"/>
        <w:tblInd w:w="-294" w:type="dxa"/>
        <w:tblLayout w:type="fixed"/>
        <w:tblLook w:val="04A0" w:firstRow="1" w:lastRow="0" w:firstColumn="1" w:lastColumn="0" w:noHBand="0" w:noVBand="1"/>
      </w:tblPr>
      <w:tblGrid>
        <w:gridCol w:w="1417"/>
        <w:gridCol w:w="1132"/>
        <w:gridCol w:w="4965"/>
        <w:gridCol w:w="1738"/>
      </w:tblGrid>
      <w:tr w:rsidR="000661C0" w:rsidRPr="00C80BEE" w14:paraId="70CD4FBA" w14:textId="77777777" w:rsidTr="00C80BEE">
        <w:trPr>
          <w:trHeight w:val="330"/>
        </w:trPr>
        <w:tc>
          <w:tcPr>
            <w:tcW w:w="766" w:type="pct"/>
            <w:tcBorders>
              <w:top w:val="nil"/>
              <w:left w:val="single" w:sz="8" w:space="0" w:color="5B9BD5"/>
              <w:bottom w:val="single" w:sz="8" w:space="0" w:color="5B9BD5"/>
              <w:right w:val="nil"/>
            </w:tcBorders>
            <w:shd w:val="clear" w:color="000000" w:fill="5B9BD5"/>
            <w:noWrap/>
            <w:vAlign w:val="center"/>
            <w:hideMark/>
          </w:tcPr>
          <w:p w14:paraId="56608942" w14:textId="77777777" w:rsidR="000661C0" w:rsidRPr="00C80BEE" w:rsidRDefault="000661C0" w:rsidP="000661C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C80BEE">
              <w:rPr>
                <w:rFonts w:ascii="黑体" w:eastAsia="黑体" w:hAnsi="黑体" w:cs="宋体" w:hint="eastAsia"/>
                <w:b/>
                <w:bCs/>
                <w:color w:val="FFFFFF"/>
                <w:kern w:val="0"/>
                <w:sz w:val="20"/>
                <w:szCs w:val="20"/>
              </w:rPr>
              <w:lastRenderedPageBreak/>
              <w:t>公司名称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5B9BD5"/>
              <w:right w:val="nil"/>
            </w:tcBorders>
            <w:shd w:val="clear" w:color="000000" w:fill="5B9BD5"/>
            <w:noWrap/>
            <w:vAlign w:val="center"/>
            <w:hideMark/>
          </w:tcPr>
          <w:p w14:paraId="507E952C" w14:textId="77777777" w:rsidR="000661C0" w:rsidRPr="00C80BEE" w:rsidRDefault="000661C0" w:rsidP="000661C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C80BEE">
              <w:rPr>
                <w:rFonts w:ascii="黑体" w:eastAsia="黑体" w:hAnsi="黑体" w:cs="宋体" w:hint="eastAsia"/>
                <w:b/>
                <w:bCs/>
                <w:color w:val="FFFFFF"/>
                <w:kern w:val="0"/>
                <w:sz w:val="20"/>
                <w:szCs w:val="20"/>
              </w:rPr>
              <w:t>行业领域</w:t>
            </w:r>
          </w:p>
        </w:tc>
        <w:tc>
          <w:tcPr>
            <w:tcW w:w="2683" w:type="pct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5B9BD5"/>
            <w:noWrap/>
            <w:vAlign w:val="center"/>
            <w:hideMark/>
          </w:tcPr>
          <w:p w14:paraId="232D9DEA" w14:textId="77777777" w:rsidR="000661C0" w:rsidRPr="00C80BEE" w:rsidRDefault="000661C0" w:rsidP="000661C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C80BEE">
              <w:rPr>
                <w:rFonts w:ascii="黑体" w:eastAsia="黑体" w:hAnsi="黑体" w:cs="宋体" w:hint="eastAsia"/>
                <w:b/>
                <w:bCs/>
                <w:color w:val="FFFFFF"/>
                <w:kern w:val="0"/>
                <w:sz w:val="20"/>
                <w:szCs w:val="20"/>
              </w:rPr>
              <w:t>科技亮点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5B9BD5"/>
              <w:right w:val="nil"/>
            </w:tcBorders>
            <w:shd w:val="clear" w:color="000000" w:fill="5B9BD5"/>
            <w:vAlign w:val="center"/>
            <w:hideMark/>
          </w:tcPr>
          <w:p w14:paraId="280FE730" w14:textId="6A7A10B3" w:rsidR="000661C0" w:rsidRPr="00C80BEE" w:rsidRDefault="000661C0" w:rsidP="000661C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C80BEE">
              <w:rPr>
                <w:rFonts w:ascii="黑体" w:eastAsia="黑体" w:hAnsi="黑体" w:cs="宋体" w:hint="eastAsia"/>
                <w:b/>
                <w:bCs/>
                <w:color w:val="FFFFFF"/>
                <w:kern w:val="0"/>
                <w:sz w:val="20"/>
                <w:szCs w:val="20"/>
              </w:rPr>
              <w:t>21年</w:t>
            </w:r>
          </w:p>
        </w:tc>
      </w:tr>
      <w:tr w:rsidR="000661C0" w:rsidRPr="00C80BEE" w14:paraId="14905B70" w14:textId="77777777" w:rsidTr="00C80BEE">
        <w:trPr>
          <w:trHeight w:val="1002"/>
        </w:trPr>
        <w:tc>
          <w:tcPr>
            <w:tcW w:w="766" w:type="pct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000000" w:fill="DEEAF6"/>
            <w:vAlign w:val="center"/>
            <w:hideMark/>
          </w:tcPr>
          <w:p w14:paraId="0F789493" w14:textId="77777777" w:rsidR="000661C0" w:rsidRPr="00C80BEE" w:rsidRDefault="000661C0" w:rsidP="000661C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80BE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杭州笨马网络技术有限公司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000000" w:fill="DEEAF6"/>
            <w:noWrap/>
            <w:vAlign w:val="center"/>
            <w:hideMark/>
          </w:tcPr>
          <w:p w14:paraId="1FE88493" w14:textId="77777777" w:rsidR="000661C0" w:rsidRPr="00C80BEE" w:rsidRDefault="000661C0" w:rsidP="000661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80BE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TMT</w:t>
            </w:r>
          </w:p>
        </w:tc>
        <w:tc>
          <w:tcPr>
            <w:tcW w:w="2683" w:type="pct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000000" w:fill="DEEAF6"/>
            <w:vAlign w:val="center"/>
            <w:hideMark/>
          </w:tcPr>
          <w:p w14:paraId="3632C595" w14:textId="77777777" w:rsidR="000661C0" w:rsidRPr="00C80BEE" w:rsidRDefault="000661C0" w:rsidP="000661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80BE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国内首家专注于 IT 系统稳定性保障，为数字经济发展保驾护航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000000" w:fill="DEEAF6"/>
            <w:vAlign w:val="center"/>
            <w:hideMark/>
          </w:tcPr>
          <w:p w14:paraId="54D2B839" w14:textId="77777777" w:rsidR="000661C0" w:rsidRPr="00C80BEE" w:rsidRDefault="000661C0" w:rsidP="000661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80BE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博华资本,高瓴创投,嘉御资本</w:t>
            </w:r>
          </w:p>
        </w:tc>
      </w:tr>
      <w:tr w:rsidR="000661C0" w:rsidRPr="00C80BEE" w14:paraId="49A3E79F" w14:textId="77777777" w:rsidTr="00C80BEE">
        <w:trPr>
          <w:trHeight w:val="1002"/>
        </w:trPr>
        <w:tc>
          <w:tcPr>
            <w:tcW w:w="766" w:type="pct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  <w:hideMark/>
          </w:tcPr>
          <w:p w14:paraId="01108433" w14:textId="77777777" w:rsidR="000661C0" w:rsidRPr="00C80BEE" w:rsidRDefault="000661C0" w:rsidP="000661C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80BE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杭州蓝芯科技有限公司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noWrap/>
            <w:vAlign w:val="center"/>
            <w:hideMark/>
          </w:tcPr>
          <w:p w14:paraId="71AC47F4" w14:textId="77777777" w:rsidR="000661C0" w:rsidRPr="00C80BEE" w:rsidRDefault="000661C0" w:rsidP="000661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80BE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智能制造</w:t>
            </w:r>
          </w:p>
        </w:tc>
        <w:tc>
          <w:tcPr>
            <w:tcW w:w="2683" w:type="pct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  <w:hideMark/>
          </w:tcPr>
          <w:p w14:paraId="79515B04" w14:textId="77777777" w:rsidR="000661C0" w:rsidRPr="00C80BEE" w:rsidRDefault="000661C0" w:rsidP="000661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80BE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拥有自主知识产权的深度视觉系统和传感器。国内首个和目前唯一一个自研MRDVS和部署无标记视觉导航的机器人公司。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  <w:hideMark/>
          </w:tcPr>
          <w:p w14:paraId="411DAC1A" w14:textId="77777777" w:rsidR="000661C0" w:rsidRPr="00C80BEE" w:rsidRDefault="000661C0" w:rsidP="000661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80BE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腾讯投资,德赛电池,维思资本,蓝驰创投</w:t>
            </w:r>
          </w:p>
        </w:tc>
      </w:tr>
      <w:tr w:rsidR="000661C0" w:rsidRPr="00C80BEE" w14:paraId="0E288DB5" w14:textId="77777777" w:rsidTr="00C80BEE">
        <w:trPr>
          <w:trHeight w:val="1002"/>
        </w:trPr>
        <w:tc>
          <w:tcPr>
            <w:tcW w:w="766" w:type="pct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000000" w:fill="DEEAF6"/>
            <w:vAlign w:val="center"/>
            <w:hideMark/>
          </w:tcPr>
          <w:p w14:paraId="2FF99A1A" w14:textId="77777777" w:rsidR="000661C0" w:rsidRPr="00C80BEE" w:rsidRDefault="000661C0" w:rsidP="000661C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80BE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杭州鲁尔新材料科技有限公司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000000" w:fill="DEEAF6"/>
            <w:noWrap/>
            <w:vAlign w:val="center"/>
            <w:hideMark/>
          </w:tcPr>
          <w:p w14:paraId="15999B09" w14:textId="77777777" w:rsidR="000661C0" w:rsidRPr="00C80BEE" w:rsidRDefault="000661C0" w:rsidP="000661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80BE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新材料</w:t>
            </w:r>
          </w:p>
        </w:tc>
        <w:tc>
          <w:tcPr>
            <w:tcW w:w="2683" w:type="pct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000000" w:fill="DEEAF6"/>
            <w:vAlign w:val="center"/>
            <w:hideMark/>
          </w:tcPr>
          <w:p w14:paraId="40DD559A" w14:textId="77777777" w:rsidR="000661C0" w:rsidRPr="00C80BEE" w:rsidRDefault="000661C0" w:rsidP="000661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80BE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相变储能材料是提高能源利用率的重要技术方向，不但可成为节能环保的最佳载体，更能在众多工业领域实现精准高效的温度控制、帮助行业降本增效。国内唯一一家进入德国相变材料质量协会的公司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000000" w:fill="DEEAF6"/>
            <w:vAlign w:val="center"/>
            <w:hideMark/>
          </w:tcPr>
          <w:p w14:paraId="0629CAAB" w14:textId="77777777" w:rsidR="000661C0" w:rsidRPr="00C80BEE" w:rsidRDefault="000661C0" w:rsidP="000661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80BE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高瓴创投,鼎聚资本,线性资本</w:t>
            </w:r>
          </w:p>
        </w:tc>
      </w:tr>
      <w:tr w:rsidR="000661C0" w:rsidRPr="00C80BEE" w14:paraId="13BB09F5" w14:textId="77777777" w:rsidTr="00C80BEE">
        <w:trPr>
          <w:trHeight w:val="1002"/>
        </w:trPr>
        <w:tc>
          <w:tcPr>
            <w:tcW w:w="766" w:type="pct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  <w:hideMark/>
          </w:tcPr>
          <w:p w14:paraId="44D11260" w14:textId="77777777" w:rsidR="000661C0" w:rsidRPr="00C80BEE" w:rsidRDefault="000661C0" w:rsidP="000661C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80BE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浙江木链物联网科技有限公司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noWrap/>
            <w:vAlign w:val="center"/>
            <w:hideMark/>
          </w:tcPr>
          <w:p w14:paraId="23BABA81" w14:textId="77777777" w:rsidR="000661C0" w:rsidRPr="00C80BEE" w:rsidRDefault="000661C0" w:rsidP="000661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80BE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TMT</w:t>
            </w:r>
          </w:p>
        </w:tc>
        <w:tc>
          <w:tcPr>
            <w:tcW w:w="2683" w:type="pct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  <w:hideMark/>
          </w:tcPr>
          <w:p w14:paraId="4D91A13B" w14:textId="77777777" w:rsidR="000661C0" w:rsidRPr="00C80BEE" w:rsidRDefault="000661C0" w:rsidP="000661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80BE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工业控制安全的领军者，国内领先的高速数据处理引擎组群和工业协议解析能力，形成了自主可控的技术体系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  <w:hideMark/>
          </w:tcPr>
          <w:p w14:paraId="66E34161" w14:textId="77777777" w:rsidR="000661C0" w:rsidRPr="00C80BEE" w:rsidRDefault="000661C0" w:rsidP="000661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80BE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古道资产,厦门万石凯星,华义创投,华方资本</w:t>
            </w:r>
          </w:p>
        </w:tc>
      </w:tr>
      <w:tr w:rsidR="000661C0" w:rsidRPr="00C80BEE" w14:paraId="26D4D4E5" w14:textId="77777777" w:rsidTr="00C80BEE">
        <w:trPr>
          <w:trHeight w:val="1002"/>
        </w:trPr>
        <w:tc>
          <w:tcPr>
            <w:tcW w:w="766" w:type="pct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000000" w:fill="DEEAF6"/>
            <w:vAlign w:val="center"/>
            <w:hideMark/>
          </w:tcPr>
          <w:p w14:paraId="0979B6AD" w14:textId="77777777" w:rsidR="000661C0" w:rsidRPr="00C80BEE" w:rsidRDefault="000661C0" w:rsidP="000661C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80BE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杭州纤纳光电科技有限公司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000000" w:fill="DEEAF6"/>
            <w:noWrap/>
            <w:vAlign w:val="center"/>
            <w:hideMark/>
          </w:tcPr>
          <w:p w14:paraId="1D61C6F1" w14:textId="77777777" w:rsidR="000661C0" w:rsidRPr="00C80BEE" w:rsidRDefault="000661C0" w:rsidP="000661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80BE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新材料、新能源</w:t>
            </w:r>
          </w:p>
        </w:tc>
        <w:tc>
          <w:tcPr>
            <w:tcW w:w="2683" w:type="pct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000000" w:fill="DEEAF6"/>
            <w:vAlign w:val="center"/>
            <w:hideMark/>
          </w:tcPr>
          <w:p w14:paraId="4B19D8F4" w14:textId="77777777" w:rsidR="000661C0" w:rsidRPr="00C80BEE" w:rsidRDefault="000661C0" w:rsidP="000661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80BE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全球第一家钙钛矿薄膜太阳能量产公司，是新能源未来发展的排头兵，未来潜力巨大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000000" w:fill="DEEAF6"/>
            <w:vAlign w:val="center"/>
            <w:hideMark/>
          </w:tcPr>
          <w:p w14:paraId="39A4D478" w14:textId="77777777" w:rsidR="000661C0" w:rsidRPr="00C80BEE" w:rsidRDefault="000661C0" w:rsidP="000661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80BE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三峡资本,京能同鑫,衢江区金投控股,招银国际,衢州绿色产业引导基金</w:t>
            </w:r>
          </w:p>
        </w:tc>
      </w:tr>
      <w:tr w:rsidR="000661C0" w:rsidRPr="00C80BEE" w14:paraId="23BC1F96" w14:textId="77777777" w:rsidTr="00C80BEE">
        <w:trPr>
          <w:trHeight w:val="1002"/>
        </w:trPr>
        <w:tc>
          <w:tcPr>
            <w:tcW w:w="766" w:type="pct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000000" w:fill="DEEAF6"/>
            <w:noWrap/>
            <w:vAlign w:val="center"/>
            <w:hideMark/>
          </w:tcPr>
          <w:p w14:paraId="4DF82A16" w14:textId="77777777" w:rsidR="000661C0" w:rsidRPr="00C80BEE" w:rsidRDefault="000661C0" w:rsidP="000661C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80BE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杭州加速科技有限公司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000000" w:fill="DEEAF6"/>
            <w:noWrap/>
            <w:vAlign w:val="center"/>
            <w:hideMark/>
          </w:tcPr>
          <w:p w14:paraId="4473601D" w14:textId="77777777" w:rsidR="000661C0" w:rsidRPr="00C80BEE" w:rsidRDefault="000661C0" w:rsidP="000661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80BE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半导体</w:t>
            </w:r>
          </w:p>
        </w:tc>
        <w:tc>
          <w:tcPr>
            <w:tcW w:w="2683" w:type="pct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000000" w:fill="DEEAF6"/>
            <w:vAlign w:val="center"/>
            <w:hideMark/>
          </w:tcPr>
          <w:p w14:paraId="193B1560" w14:textId="77777777" w:rsidR="000661C0" w:rsidRPr="00C80BEE" w:rsidRDefault="000661C0" w:rsidP="000661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80BE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IC测试设备领军者，国产数字机，测试中国芯，加速科技正在打破国际垄断，实现国产替代，推动国产数字测试系统迈上新台阶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000000" w:fill="DEEAF6"/>
            <w:vAlign w:val="center"/>
            <w:hideMark/>
          </w:tcPr>
          <w:p w14:paraId="0AAFB961" w14:textId="77777777" w:rsidR="000661C0" w:rsidRPr="00C80BEE" w:rsidRDefault="000661C0" w:rsidP="000661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80BE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方广资本,中金资本,东方富海,绅湾资本,银润资本,交银国际,泛翼达资产,小米长江产业基金,海德复兴</w:t>
            </w:r>
          </w:p>
        </w:tc>
      </w:tr>
      <w:tr w:rsidR="000661C0" w:rsidRPr="00C80BEE" w14:paraId="5DC83D26" w14:textId="77777777" w:rsidTr="00C80BEE">
        <w:trPr>
          <w:trHeight w:val="1002"/>
        </w:trPr>
        <w:tc>
          <w:tcPr>
            <w:tcW w:w="766" w:type="pct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noWrap/>
            <w:vAlign w:val="center"/>
            <w:hideMark/>
          </w:tcPr>
          <w:p w14:paraId="031495D6" w14:textId="77777777" w:rsidR="000661C0" w:rsidRPr="00C80BEE" w:rsidRDefault="000661C0" w:rsidP="000661C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80BE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杭州键嘉机器人有限公司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noWrap/>
            <w:vAlign w:val="center"/>
            <w:hideMark/>
          </w:tcPr>
          <w:p w14:paraId="47C4EC23" w14:textId="77777777" w:rsidR="000661C0" w:rsidRPr="00C80BEE" w:rsidRDefault="000661C0" w:rsidP="000661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80BE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医疗器械</w:t>
            </w:r>
          </w:p>
        </w:tc>
        <w:tc>
          <w:tcPr>
            <w:tcW w:w="2683" w:type="pct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  <w:hideMark/>
          </w:tcPr>
          <w:p w14:paraId="68A3D9CD" w14:textId="77777777" w:rsidR="000661C0" w:rsidRPr="00C80BEE" w:rsidRDefault="000661C0" w:rsidP="000661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80BE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公司自主研发的骨科关节手术机器人ARTHROBOT是国内首款可同时覆盖髋关节与膝关节的手术机器人平台，打破了进口长期垄断的局面 。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  <w:hideMark/>
          </w:tcPr>
          <w:p w14:paraId="70E76B35" w14:textId="77777777" w:rsidR="000661C0" w:rsidRPr="00C80BEE" w:rsidRDefault="000661C0" w:rsidP="000661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80BE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洲嶺资本,软银中国资本,高瓴创投,复星医药</w:t>
            </w:r>
          </w:p>
        </w:tc>
      </w:tr>
      <w:tr w:rsidR="000661C0" w:rsidRPr="00C80BEE" w14:paraId="7AFCAE70" w14:textId="77777777" w:rsidTr="00C80BEE">
        <w:trPr>
          <w:trHeight w:val="1002"/>
        </w:trPr>
        <w:tc>
          <w:tcPr>
            <w:tcW w:w="766" w:type="pct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000000" w:fill="DEEAF6"/>
            <w:noWrap/>
            <w:vAlign w:val="center"/>
            <w:hideMark/>
          </w:tcPr>
          <w:p w14:paraId="65DECA85" w14:textId="77777777" w:rsidR="000661C0" w:rsidRPr="00C80BEE" w:rsidRDefault="000661C0" w:rsidP="000661C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80BE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密码子（杭州）科技有限公司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000000" w:fill="DEEAF6"/>
            <w:noWrap/>
            <w:vAlign w:val="center"/>
            <w:hideMark/>
          </w:tcPr>
          <w:p w14:paraId="2F0C49DA" w14:textId="77777777" w:rsidR="000661C0" w:rsidRPr="00C80BEE" w:rsidRDefault="000661C0" w:rsidP="000661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80BE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TMT</w:t>
            </w:r>
          </w:p>
        </w:tc>
        <w:tc>
          <w:tcPr>
            <w:tcW w:w="2683" w:type="pct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000000" w:fill="DEEAF6"/>
            <w:vAlign w:val="center"/>
            <w:hideMark/>
          </w:tcPr>
          <w:p w14:paraId="0579FB81" w14:textId="77777777" w:rsidR="000661C0" w:rsidRPr="00C80BEE" w:rsidRDefault="000661C0" w:rsidP="000661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80BE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全球领先的DNA存储研发商，自研数据—DNA模块编解码算法及软件，优化适应于大数据存储的DNA生化反应及工艺，实现DNA数据存储在应用上的突破。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000000" w:fill="DEEAF6"/>
            <w:vAlign w:val="center"/>
            <w:hideMark/>
          </w:tcPr>
          <w:p w14:paraId="33B22608" w14:textId="77777777" w:rsidR="000661C0" w:rsidRPr="00C80BEE" w:rsidRDefault="000661C0" w:rsidP="000661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80BE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奇绩创坛</w:t>
            </w:r>
          </w:p>
        </w:tc>
      </w:tr>
      <w:tr w:rsidR="000661C0" w:rsidRPr="00C80BEE" w14:paraId="20E05628" w14:textId="77777777" w:rsidTr="00C80BEE">
        <w:trPr>
          <w:trHeight w:val="1002"/>
        </w:trPr>
        <w:tc>
          <w:tcPr>
            <w:tcW w:w="766" w:type="pct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noWrap/>
            <w:vAlign w:val="center"/>
            <w:hideMark/>
          </w:tcPr>
          <w:p w14:paraId="4ABCE976" w14:textId="77777777" w:rsidR="000661C0" w:rsidRPr="00C80BEE" w:rsidRDefault="000661C0" w:rsidP="000661C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80BE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赛元生物科技（杭州）有限公司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noWrap/>
            <w:vAlign w:val="center"/>
            <w:hideMark/>
          </w:tcPr>
          <w:p w14:paraId="4C552790" w14:textId="77777777" w:rsidR="000661C0" w:rsidRPr="00C80BEE" w:rsidRDefault="000661C0" w:rsidP="000661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80BE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医疗健康</w:t>
            </w:r>
          </w:p>
        </w:tc>
        <w:tc>
          <w:tcPr>
            <w:tcW w:w="2683" w:type="pct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  <w:hideMark/>
          </w:tcPr>
          <w:p w14:paraId="79DB9507" w14:textId="77777777" w:rsidR="000661C0" w:rsidRPr="00C80BEE" w:rsidRDefault="000661C0" w:rsidP="000661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80BE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赛元生物科技（杭州）有限公司致力于工程化多能干细胞（iPSC, ESC）分化免疫细胞（如巨噬细胞、NK细胞）的研发及转化。赛元生物拥有国际首创的拥有自主知识产权的iPSC分化先天性免疫细胞技术平台，并与哈佛大学、麻省理工学院的干细胞与合成生物学领域的实验室开展深度合作，利用干细胞诱导分化可得到单克隆、可编辑、可扩增的免疫细胞的优势，实现免疫细胞治疗产品的通用性、有效性、安全性以及大规模生产，使其更好的应用于肿瘤免疫治疗，以及自身免疫病与罕见病的基因/细胞治疗。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  <w:hideMark/>
          </w:tcPr>
          <w:p w14:paraId="77F125F3" w14:textId="77777777" w:rsidR="000661C0" w:rsidRPr="00C80BEE" w:rsidRDefault="000661C0" w:rsidP="000661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80BE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昆仑资本,巢生资本</w:t>
            </w:r>
          </w:p>
        </w:tc>
      </w:tr>
      <w:bookmarkEnd w:id="0"/>
      <w:bookmarkEnd w:id="1"/>
    </w:tbl>
    <w:p w14:paraId="7CB59AD2" w14:textId="77777777" w:rsidR="000661C0" w:rsidRPr="00C80BEE" w:rsidRDefault="000661C0" w:rsidP="000661C0">
      <w:pPr>
        <w:ind w:leftChars="-337" w:left="-101" w:hangingChars="253" w:hanging="607"/>
        <w:rPr>
          <w:rFonts w:ascii="Times New Roman" w:eastAsia="仿宋_GB2312" w:hAnsi="Times New Roman" w:cs="Times New Roman"/>
          <w:sz w:val="24"/>
          <w:szCs w:val="24"/>
        </w:rPr>
      </w:pPr>
    </w:p>
    <w:sectPr w:rsidR="000661C0" w:rsidRPr="00C80B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FBF69" w14:textId="77777777" w:rsidR="00511C2C" w:rsidRDefault="00511C2C" w:rsidP="008C3B6A">
      <w:r>
        <w:separator/>
      </w:r>
    </w:p>
  </w:endnote>
  <w:endnote w:type="continuationSeparator" w:id="0">
    <w:p w14:paraId="61313815" w14:textId="77777777" w:rsidR="00511C2C" w:rsidRDefault="00511C2C" w:rsidP="008C3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2A87" w:usb1="080E0000" w:usb2="00000010" w:usb3="00000000" w:csb0="0004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4DDC2" w14:textId="77777777" w:rsidR="00511C2C" w:rsidRDefault="00511C2C" w:rsidP="008C3B6A">
      <w:r>
        <w:separator/>
      </w:r>
    </w:p>
  </w:footnote>
  <w:footnote w:type="continuationSeparator" w:id="0">
    <w:p w14:paraId="49C3DD15" w14:textId="77777777" w:rsidR="00511C2C" w:rsidRDefault="00511C2C" w:rsidP="008C3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F46"/>
    <w:multiLevelType w:val="hybridMultilevel"/>
    <w:tmpl w:val="623AC670"/>
    <w:lvl w:ilvl="0" w:tplc="16C016F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328768C"/>
    <w:multiLevelType w:val="multilevel"/>
    <w:tmpl w:val="38187246"/>
    <w:lvl w:ilvl="0">
      <w:start w:val="1"/>
      <w:numFmt w:val="decimal"/>
      <w:pStyle w:val="-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AE64075"/>
    <w:multiLevelType w:val="hybridMultilevel"/>
    <w:tmpl w:val="7BA2557E"/>
    <w:lvl w:ilvl="0" w:tplc="323EBA5E">
      <w:start w:val="1"/>
      <w:numFmt w:val="decimal"/>
      <w:lvlText w:val="图%1："/>
      <w:lvlJc w:val="center"/>
      <w:pPr>
        <w:ind w:left="5808" w:hanging="420"/>
      </w:pPr>
      <w:rPr>
        <w:rFonts w:hint="eastAsia"/>
        <w:sz w:val="22"/>
        <w:szCs w:val="22"/>
      </w:rPr>
    </w:lvl>
    <w:lvl w:ilvl="1" w:tplc="04090019" w:tentative="1">
      <w:start w:val="1"/>
      <w:numFmt w:val="lowerLetter"/>
      <w:lvlText w:val="%2)"/>
      <w:lvlJc w:val="left"/>
      <w:pPr>
        <w:ind w:left="3534" w:hanging="420"/>
      </w:pPr>
    </w:lvl>
    <w:lvl w:ilvl="2" w:tplc="0409001B" w:tentative="1">
      <w:start w:val="1"/>
      <w:numFmt w:val="lowerRoman"/>
      <w:lvlText w:val="%3."/>
      <w:lvlJc w:val="right"/>
      <w:pPr>
        <w:ind w:left="3954" w:hanging="420"/>
      </w:pPr>
    </w:lvl>
    <w:lvl w:ilvl="3" w:tplc="0409000F" w:tentative="1">
      <w:start w:val="1"/>
      <w:numFmt w:val="decimal"/>
      <w:lvlText w:val="%4."/>
      <w:lvlJc w:val="left"/>
      <w:pPr>
        <w:ind w:left="4374" w:hanging="420"/>
      </w:pPr>
    </w:lvl>
    <w:lvl w:ilvl="4" w:tplc="04090019" w:tentative="1">
      <w:start w:val="1"/>
      <w:numFmt w:val="lowerLetter"/>
      <w:lvlText w:val="%5)"/>
      <w:lvlJc w:val="left"/>
      <w:pPr>
        <w:ind w:left="4794" w:hanging="420"/>
      </w:pPr>
    </w:lvl>
    <w:lvl w:ilvl="5" w:tplc="0409001B" w:tentative="1">
      <w:start w:val="1"/>
      <w:numFmt w:val="lowerRoman"/>
      <w:lvlText w:val="%6."/>
      <w:lvlJc w:val="right"/>
      <w:pPr>
        <w:ind w:left="5214" w:hanging="420"/>
      </w:pPr>
    </w:lvl>
    <w:lvl w:ilvl="6" w:tplc="0409000F" w:tentative="1">
      <w:start w:val="1"/>
      <w:numFmt w:val="decimal"/>
      <w:lvlText w:val="%7."/>
      <w:lvlJc w:val="left"/>
      <w:pPr>
        <w:ind w:left="5634" w:hanging="420"/>
      </w:pPr>
    </w:lvl>
    <w:lvl w:ilvl="7" w:tplc="04090019" w:tentative="1">
      <w:start w:val="1"/>
      <w:numFmt w:val="lowerLetter"/>
      <w:lvlText w:val="%8)"/>
      <w:lvlJc w:val="left"/>
      <w:pPr>
        <w:ind w:left="6054" w:hanging="420"/>
      </w:pPr>
    </w:lvl>
    <w:lvl w:ilvl="8" w:tplc="0409001B" w:tentative="1">
      <w:start w:val="1"/>
      <w:numFmt w:val="lowerRoman"/>
      <w:lvlText w:val="%9."/>
      <w:lvlJc w:val="right"/>
      <w:pPr>
        <w:ind w:left="6474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885"/>
    <w:rsid w:val="000661C0"/>
    <w:rsid w:val="00167287"/>
    <w:rsid w:val="00460885"/>
    <w:rsid w:val="00485D49"/>
    <w:rsid w:val="00511C2C"/>
    <w:rsid w:val="00752B27"/>
    <w:rsid w:val="008412A7"/>
    <w:rsid w:val="008C3B6A"/>
    <w:rsid w:val="009E4CFE"/>
    <w:rsid w:val="00A604EE"/>
    <w:rsid w:val="00AD63F7"/>
    <w:rsid w:val="00B52C70"/>
    <w:rsid w:val="00C80BEE"/>
    <w:rsid w:val="00DC4F55"/>
    <w:rsid w:val="00E41C29"/>
    <w:rsid w:val="00EC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961EB"/>
  <w15:chartTrackingRefBased/>
  <w15:docId w15:val="{5E845E18-37B0-4383-9076-4F239107A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企业分析报告图-题注格式"/>
    <w:basedOn w:val="a3"/>
    <w:next w:val="a"/>
    <w:link w:val="-0"/>
    <w:qFormat/>
    <w:rsid w:val="008412A7"/>
    <w:pPr>
      <w:numPr>
        <w:numId w:val="3"/>
      </w:numPr>
      <w:ind w:left="420" w:hanging="420"/>
      <w:jc w:val="center"/>
    </w:pPr>
    <w:rPr>
      <w:b/>
      <w:bCs/>
      <w:color w:val="44546A" w:themeColor="text2"/>
      <w:szCs w:val="21"/>
    </w:rPr>
  </w:style>
  <w:style w:type="character" w:customStyle="1" w:styleId="-0">
    <w:name w:val="企业分析报告图-题注格式 字符"/>
    <w:basedOn w:val="a0"/>
    <w:link w:val="-"/>
    <w:rsid w:val="008412A7"/>
    <w:rPr>
      <w:rFonts w:asciiTheme="majorHAnsi" w:eastAsia="黑体" w:hAnsiTheme="majorHAnsi" w:cstheme="majorBidi"/>
      <w:b/>
      <w:bCs/>
      <w:color w:val="44546A" w:themeColor="text2"/>
      <w:sz w:val="20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8412A7"/>
    <w:rPr>
      <w:rFonts w:asciiTheme="majorHAnsi" w:eastAsia="黑体" w:hAnsiTheme="majorHAnsi" w:cstheme="majorBidi"/>
      <w:sz w:val="20"/>
      <w:szCs w:val="20"/>
    </w:rPr>
  </w:style>
  <w:style w:type="paragraph" w:customStyle="1" w:styleId="-0228">
    <w:name w:val="企业分析图-题注样式0228"/>
    <w:basedOn w:val="a3"/>
    <w:link w:val="-02280"/>
    <w:qFormat/>
    <w:rsid w:val="008412A7"/>
    <w:pPr>
      <w:tabs>
        <w:tab w:val="num" w:pos="720"/>
      </w:tabs>
      <w:ind w:left="5808" w:hanging="420"/>
      <w:jc w:val="center"/>
    </w:pPr>
    <w:rPr>
      <w:b/>
      <w:bCs/>
      <w:color w:val="44546A" w:themeColor="text2"/>
      <w:sz w:val="24"/>
      <w:szCs w:val="21"/>
    </w:rPr>
  </w:style>
  <w:style w:type="character" w:customStyle="1" w:styleId="-02280">
    <w:name w:val="企业分析图-题注样式0228 字符"/>
    <w:basedOn w:val="a0"/>
    <w:link w:val="-0228"/>
    <w:rsid w:val="008412A7"/>
    <w:rPr>
      <w:rFonts w:asciiTheme="majorHAnsi" w:eastAsia="黑体" w:hAnsiTheme="majorHAnsi" w:cstheme="majorBidi"/>
      <w:b/>
      <w:bCs/>
      <w:color w:val="44546A" w:themeColor="text2"/>
      <w:sz w:val="24"/>
      <w:szCs w:val="21"/>
    </w:rPr>
  </w:style>
  <w:style w:type="paragraph" w:styleId="a4">
    <w:name w:val="header"/>
    <w:basedOn w:val="a"/>
    <w:link w:val="a5"/>
    <w:uiPriority w:val="99"/>
    <w:unhideWhenUsed/>
    <w:rsid w:val="008C3B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C3B6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C3B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C3B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27993;&#27743;&#32929;&#26435;&#20132;&#26131;&#20013;&#24515;\&#27993;&#27743;&#32929;&#26435;&#20132;&#26131;&#20013;&#24515;-&#20225;&#19994;&#26381;&#21153;&#37096;\&#26410;&#26469;&#31185;&#25216;&#22478;&#37329;&#34701;&#26381;&#21153;&#25253;&#21578;-1108-&#20020;\&#21508;&#31867;&#25968;&#25454;-1108\&#26032;&#22270;&#34920;&#24213;&#31295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o_li\Desktop\&#26032;&#37329;&#34701;&#26381;&#21153;&#25253;&#21578;\&#26032;&#22270;&#34920;&#24213;&#31295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3713796805673873E-2"/>
          <c:y val="6.9268876491842574E-2"/>
          <c:w val="0.89637030233929038"/>
          <c:h val="0.7162651860405123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'新-21未科融资轮次'!$B$17</c:f>
              <c:strCache>
                <c:ptCount val="1"/>
                <c:pt idx="0">
                  <c:v>家数</c:v>
                </c:pt>
              </c:strCache>
            </c:strRef>
          </c:tx>
          <c:spPr>
            <a:solidFill>
              <a:srgbClr val="21638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zh-CN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'新-21未科融资轮次'!$A$18:$A$24</c:f>
              <c:strCache>
                <c:ptCount val="7"/>
                <c:pt idx="0">
                  <c:v>种子轮、
天使轮</c:v>
                </c:pt>
                <c:pt idx="1">
                  <c:v>Pre-A轮、
A轮及A+轮</c:v>
                </c:pt>
                <c:pt idx="2">
                  <c:v>B轮、B+轮</c:v>
                </c:pt>
                <c:pt idx="3">
                  <c:v>C轮、C+轮</c:v>
                </c:pt>
                <c:pt idx="4">
                  <c:v>D轮</c:v>
                </c:pt>
                <c:pt idx="5">
                  <c:v>E轮</c:v>
                </c:pt>
                <c:pt idx="6">
                  <c:v>Pre-IPO</c:v>
                </c:pt>
              </c:strCache>
            </c:strRef>
          </c:cat>
          <c:val>
            <c:numRef>
              <c:f>'新-21未科融资轮次'!$B$18:$B$24</c:f>
              <c:numCache>
                <c:formatCode>General</c:formatCode>
                <c:ptCount val="7"/>
                <c:pt idx="0">
                  <c:v>83</c:v>
                </c:pt>
                <c:pt idx="1">
                  <c:v>65</c:v>
                </c:pt>
                <c:pt idx="2">
                  <c:v>35</c:v>
                </c:pt>
                <c:pt idx="3">
                  <c:v>13</c:v>
                </c:pt>
                <c:pt idx="4">
                  <c:v>3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32-4989-AF55-FE45205406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290368"/>
        <c:axId val="39291904"/>
      </c:barChart>
      <c:catAx>
        <c:axId val="39290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黑体" panose="02010609060101010101" pitchFamily="49" charset="-122"/>
                <a:ea typeface="黑体" panose="02010609060101010101" pitchFamily="49" charset="-122"/>
                <a:cs typeface="+mn-cs"/>
              </a:defRPr>
            </a:pPr>
            <a:endParaRPr lang="zh-CN"/>
          </a:p>
        </c:txPr>
        <c:crossAx val="39291904"/>
        <c:crosses val="autoZero"/>
        <c:auto val="0"/>
        <c:lblAlgn val="ctr"/>
        <c:lblOffset val="100"/>
        <c:noMultiLvlLbl val="0"/>
      </c:catAx>
      <c:valAx>
        <c:axId val="39291904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39290368"/>
        <c:crosses val="autoZero"/>
        <c:crossBetween val="between"/>
      </c:valAx>
      <c:spPr>
        <a:solidFill>
          <a:srgbClr val="C1C7D1"/>
        </a:solidFill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accent3">
        <a:lumMod val="20000"/>
        <a:lumOff val="80000"/>
      </a:schemeClr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zh-CN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'新-21未科行业'!$B$13</c:f>
              <c:strCache>
                <c:ptCount val="1"/>
                <c:pt idx="0">
                  <c:v>数量</c:v>
                </c:pt>
              </c:strCache>
            </c:strRef>
          </c:tx>
          <c:spPr>
            <a:solidFill>
              <a:srgbClr val="21638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zh-CN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'新-21未科行业'!$A$14:$A$21</c:f>
              <c:strCache>
                <c:ptCount val="8"/>
                <c:pt idx="0">
                  <c:v>其他</c:v>
                </c:pt>
                <c:pt idx="1">
                  <c:v>新能源</c:v>
                </c:pt>
                <c:pt idx="2">
                  <c:v>新材料</c:v>
                </c:pt>
                <c:pt idx="3">
                  <c:v>节能环保</c:v>
                </c:pt>
                <c:pt idx="4">
                  <c:v>先进装备制造</c:v>
                </c:pt>
                <c:pt idx="5">
                  <c:v>新消费</c:v>
                </c:pt>
                <c:pt idx="6">
                  <c:v>大健康</c:v>
                </c:pt>
                <c:pt idx="7">
                  <c:v>TMT</c:v>
                </c:pt>
              </c:strCache>
            </c:strRef>
          </c:cat>
          <c:val>
            <c:numRef>
              <c:f>'新-21未科行业'!$B$14:$B$21</c:f>
              <c:numCache>
                <c:formatCode>General</c:formatCode>
                <c:ptCount val="8"/>
                <c:pt idx="0">
                  <c:v>14</c:v>
                </c:pt>
                <c:pt idx="1">
                  <c:v>1</c:v>
                </c:pt>
                <c:pt idx="2">
                  <c:v>2</c:v>
                </c:pt>
                <c:pt idx="3">
                  <c:v>5</c:v>
                </c:pt>
                <c:pt idx="4">
                  <c:v>19</c:v>
                </c:pt>
                <c:pt idx="5">
                  <c:v>22</c:v>
                </c:pt>
                <c:pt idx="6">
                  <c:v>36</c:v>
                </c:pt>
                <c:pt idx="7">
                  <c:v>102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34C-4876-AF17-5CA4494331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3"/>
        <c:axId val="156502656"/>
        <c:axId val="156504448"/>
      </c:barChart>
      <c:catAx>
        <c:axId val="1565026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黑体" panose="02010609060101010101" pitchFamily="49" charset="-122"/>
                <a:ea typeface="黑体" panose="02010609060101010101" pitchFamily="49" charset="-122"/>
                <a:cs typeface="+mn-cs"/>
              </a:defRPr>
            </a:pPr>
            <a:endParaRPr lang="zh-CN"/>
          </a:p>
        </c:txPr>
        <c:crossAx val="156504448"/>
        <c:crosses val="autoZero"/>
        <c:auto val="1"/>
        <c:lblAlgn val="ctr"/>
        <c:lblOffset val="100"/>
        <c:noMultiLvlLbl val="0"/>
      </c:catAx>
      <c:valAx>
        <c:axId val="1565044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zh-CN"/>
          </a:p>
        </c:txPr>
        <c:crossAx val="156502656"/>
        <c:crosses val="autoZero"/>
        <c:crossBetween val="between"/>
      </c:valAx>
      <c:spPr>
        <a:solidFill>
          <a:srgbClr val="C1C7D1"/>
        </a:solidFill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>
        <a:lumMod val="95000"/>
      </a:schemeClr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zf</dc:creator>
  <cp:keywords/>
  <dc:description/>
  <cp:lastModifiedBy>袁 桢</cp:lastModifiedBy>
  <cp:revision>3</cp:revision>
  <cp:lastPrinted>2022-02-21T08:39:00Z</cp:lastPrinted>
  <dcterms:created xsi:type="dcterms:W3CDTF">2022-02-21T08:39:00Z</dcterms:created>
  <dcterms:modified xsi:type="dcterms:W3CDTF">2022-02-21T08:44:00Z</dcterms:modified>
</cp:coreProperties>
</file>