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rPr>
          <w:rFonts w:ascii="Times New Roman" w:hAnsi="Times New Roman"/>
          <w:color w:val="000000"/>
          <w:kern w:val="0"/>
          <w:sz w:val="36"/>
          <w:szCs w:val="36"/>
        </w:rPr>
      </w:pPr>
      <w:r>
        <w:rPr>
          <w:rFonts w:hint="eastAsia" w:ascii="Times New Roman" w:hAnsi="Times New Roman" w:eastAsia="宋体" w:cs="Times New Roman"/>
          <w:color w:val="000000"/>
          <w:kern w:val="0"/>
          <w:sz w:val="36"/>
          <w:szCs w:val="36"/>
        </w:rPr>
        <w:t>『浙里融精彩回放』</w:t>
      </w:r>
      <w:r>
        <w:rPr>
          <w:rFonts w:hint="eastAsia" w:ascii="宋体" w:hAnsi="宋体" w:cs="华文中宋"/>
          <w:sz w:val="36"/>
          <w:szCs w:val="36"/>
        </w:rPr>
        <w:t>浙里融氢能源</w:t>
      </w:r>
      <w:r>
        <w:rPr>
          <w:rFonts w:ascii="宋体" w:hAnsi="宋体" w:cs="华文中宋"/>
          <w:sz w:val="36"/>
          <w:szCs w:val="36"/>
        </w:rPr>
        <w:t>行业</w:t>
      </w:r>
      <w:r>
        <w:rPr>
          <w:rFonts w:ascii="Times New Roman" w:hAnsi="Times New Roman"/>
          <w:color w:val="000000"/>
          <w:kern w:val="0"/>
          <w:sz w:val="36"/>
          <w:szCs w:val="36"/>
        </w:rPr>
        <w:t>专场路演</w:t>
      </w:r>
      <w:r>
        <w:rPr>
          <w:rFonts w:hint="eastAsia" w:ascii="Times New Roman" w:hAnsi="Times New Roman" w:eastAsia="宋体" w:cs="Times New Roman"/>
          <w:color w:val="000000"/>
          <w:kern w:val="0"/>
          <w:sz w:val="36"/>
          <w:szCs w:val="36"/>
        </w:rPr>
        <w:t>圆满举行</w:t>
      </w:r>
    </w:p>
    <w:p>
      <w:pPr>
        <w:widowControl/>
        <w:rPr>
          <w:rFonts w:ascii="Times New Roman" w:hAnsi="Times New Roman" w:eastAsia="微软雅黑" w:cs="Times New Roman"/>
          <w:b/>
          <w:color w:val="3E3E3E"/>
          <w:kern w:val="0"/>
          <w:sz w:val="24"/>
        </w:rPr>
      </w:pPr>
      <w:r>
        <w:rPr>
          <w:rFonts w:ascii="Times New Roman" w:hAnsi="Times New Roman" w:eastAsia="微软雅黑" w:cs="Times New Roman"/>
          <w:b/>
          <w:color w:val="3E3E3E"/>
          <w:kern w:val="0"/>
          <w:sz w:val="24"/>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widowControl/>
        <w:ind w:firstLine="420" w:firstLineChars="200"/>
        <w:rPr>
          <w:rFonts w:asciiTheme="minorEastAsia" w:hAnsiTheme="minorEastAsia"/>
          <w:szCs w:val="21"/>
        </w:rPr>
      </w:pPr>
      <w:r>
        <w:rPr>
          <w:rFonts w:hint="eastAsia" w:ascii="宋体" w:hAnsi="宋体"/>
          <w:szCs w:val="21"/>
        </w:rPr>
        <w:t>201</w:t>
      </w:r>
      <w:r>
        <w:rPr>
          <w:rFonts w:ascii="宋体" w:hAnsi="宋体"/>
          <w:szCs w:val="21"/>
        </w:rPr>
        <w:t>9</w:t>
      </w:r>
      <w:r>
        <w:rPr>
          <w:rFonts w:hint="eastAsia" w:ascii="宋体" w:hAnsi="宋体"/>
          <w:szCs w:val="21"/>
        </w:rPr>
        <w:t>年</w:t>
      </w:r>
      <w:r>
        <w:rPr>
          <w:rFonts w:ascii="宋体" w:hAnsi="宋体"/>
          <w:szCs w:val="21"/>
        </w:rPr>
        <w:t>6</w:t>
      </w:r>
      <w:r>
        <w:rPr>
          <w:rFonts w:hint="eastAsia" w:ascii="宋体" w:hAnsi="宋体"/>
          <w:szCs w:val="21"/>
        </w:rPr>
        <w:t>月</w:t>
      </w:r>
      <w:r>
        <w:rPr>
          <w:rFonts w:ascii="宋体" w:hAnsi="宋体"/>
          <w:szCs w:val="21"/>
        </w:rPr>
        <w:t>4</w:t>
      </w:r>
      <w:r>
        <w:rPr>
          <w:rFonts w:hint="eastAsia" w:ascii="宋体" w:hAnsi="宋体"/>
          <w:szCs w:val="21"/>
        </w:rPr>
        <w:t>日</w:t>
      </w:r>
      <w:r>
        <w:rPr>
          <w:rFonts w:ascii="宋体" w:hAnsi="宋体"/>
          <w:szCs w:val="21"/>
        </w:rPr>
        <w:t>下</w:t>
      </w:r>
      <w:r>
        <w:rPr>
          <w:rFonts w:hint="eastAsia" w:ascii="宋体" w:hAnsi="宋体"/>
          <w:szCs w:val="21"/>
        </w:rPr>
        <w:t>午，</w:t>
      </w:r>
      <w:r>
        <w:rPr>
          <w:rFonts w:hint="eastAsia" w:asciiTheme="minorEastAsia" w:hAnsiTheme="minorEastAsia"/>
          <w:b/>
          <w:color w:val="3E3E3E"/>
          <w:kern w:val="0"/>
          <w:szCs w:val="21"/>
        </w:rPr>
        <w:t>浙江省股权交易中心</w:t>
      </w:r>
      <w:r>
        <w:rPr>
          <w:rFonts w:hint="eastAsia" w:asciiTheme="minorEastAsia" w:hAnsiTheme="minorEastAsia"/>
          <w:color w:val="3E3E3E"/>
          <w:kern w:val="0"/>
          <w:szCs w:val="21"/>
        </w:rPr>
        <w:t>联合</w:t>
      </w:r>
      <w:r>
        <w:rPr>
          <w:rFonts w:hint="eastAsia" w:asciiTheme="minorEastAsia" w:hAnsiTheme="minorEastAsia"/>
          <w:b/>
          <w:color w:val="3E3E3E"/>
          <w:kern w:val="0"/>
          <w:szCs w:val="21"/>
        </w:rPr>
        <w:t>浙大未来创投</w:t>
      </w:r>
      <w:r>
        <w:rPr>
          <w:rFonts w:hint="eastAsia" w:asciiTheme="minorEastAsia" w:hAnsiTheme="minorEastAsia"/>
          <w:color w:val="3E3E3E"/>
          <w:kern w:val="0"/>
          <w:szCs w:val="21"/>
        </w:rPr>
        <w:t>、</w:t>
      </w:r>
      <w:r>
        <w:rPr>
          <w:rFonts w:hint="eastAsia" w:asciiTheme="minorEastAsia" w:hAnsiTheme="minorEastAsia"/>
          <w:b/>
          <w:color w:val="3E3E3E"/>
          <w:kern w:val="0"/>
          <w:szCs w:val="21"/>
        </w:rPr>
        <w:t>杭州钱塘新区管委会</w:t>
      </w:r>
      <w:r>
        <w:rPr>
          <w:rFonts w:hint="eastAsia" w:asciiTheme="minorEastAsia" w:hAnsiTheme="minorEastAsia"/>
          <w:color w:val="3E3E3E"/>
          <w:kern w:val="0"/>
          <w:szCs w:val="21"/>
        </w:rPr>
        <w:t>，</w:t>
      </w:r>
      <w:r>
        <w:rPr>
          <w:rFonts w:hint="eastAsia" w:asciiTheme="minorEastAsia" w:hAnsiTheme="minorEastAsia"/>
          <w:szCs w:val="21"/>
        </w:rPr>
        <w:t xml:space="preserve">在浙江省股权交易中心交易大厅成功举办氢能源行业项目路演活动。参加路演的5家优秀企业分布在氢燃料电池及配套产业等领域。 </w:t>
      </w:r>
    </w:p>
    <w:p>
      <w:pPr>
        <w:widowControl/>
        <w:ind w:firstLine="420" w:firstLineChars="200"/>
        <w:rPr>
          <w:rFonts w:asciiTheme="minorEastAsia" w:hAnsiTheme="minorEastAsia"/>
          <w:szCs w:val="21"/>
        </w:rPr>
      </w:pPr>
      <w:r>
        <w:rPr>
          <w:rFonts w:hint="eastAsia" w:asciiTheme="minorEastAsia" w:hAnsiTheme="minorEastAsia"/>
          <w:szCs w:val="21"/>
        </w:rPr>
        <w:t>此次活动特别邀请深创投高邮红土基金合伙人李鹏先生和无锡金控浦银投资总经理惠联斌先生担任评委，为此次参加项目路演的参赛企业做专业的点评和指导。</w:t>
      </w:r>
      <w:r>
        <w:rPr>
          <w:rFonts w:asciiTheme="minorEastAsia" w:hAnsiTheme="minorEastAsia"/>
          <w:szCs w:val="21"/>
        </w:rPr>
        <w:t>本次活动另外邀请布局氢能源的鼎海投资、万创投资等30余家投资机构参加，现场气场热烈，项目得到广泛关注。</w:t>
      </w:r>
    </w:p>
    <w:p>
      <w:pPr>
        <w:widowControl/>
        <w:rPr>
          <w:rFonts w:ascii="Times New Roman" w:hAnsi="Times New Roman" w:eastAsia="微软雅黑" w:cs="Times New Roman"/>
          <w:color w:val="3E3E3E"/>
          <w:kern w:val="0"/>
          <w:sz w:val="24"/>
        </w:rPr>
      </w:pPr>
    </w:p>
    <w:p>
      <w:pPr>
        <w:widowControl/>
        <w:jc w:val="center"/>
        <w:rPr>
          <w:rFonts w:cs="Times New Roman" w:asciiTheme="minorEastAsia" w:hAnsiTheme="minorEastAsia"/>
          <w:color w:val="3E3E3E"/>
          <w:kern w:val="0"/>
          <w:szCs w:val="21"/>
        </w:rPr>
      </w:pPr>
      <w:r>
        <w:rPr>
          <w:rFonts w:cs="Times New Roman" w:asciiTheme="minorEastAsia" w:hAnsiTheme="minorEastAsia"/>
          <w:color w:val="3E3E3E"/>
          <w:kern w:val="0"/>
          <w:szCs w:val="21"/>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pPr>
      <w:r>
        <w:rPr>
          <w:rFonts w:hint="eastAsia" w:asciiTheme="minorEastAsia" w:hAnsiTheme="minorEastAsia"/>
          <w:szCs w:val="21"/>
        </w:rPr>
        <w:t>深创投</w:t>
      </w:r>
      <w:r>
        <w:rPr>
          <w:rFonts w:hint="eastAsia"/>
        </w:rPr>
        <w:t>的</w:t>
      </w:r>
      <w:r>
        <w:t>李</w:t>
      </w:r>
      <w:r>
        <w:rPr>
          <w:rFonts w:hint="eastAsia"/>
        </w:rPr>
        <w:t>总为项目方做点评</w:t>
      </w:r>
    </w:p>
    <w:p>
      <w:r>
        <w:drawing>
          <wp:inline distT="0" distB="0" distL="0" distR="0">
            <wp:extent cx="5274310" cy="3952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2240"/>
                    </a:xfrm>
                    <a:prstGeom prst="rect">
                      <a:avLst/>
                    </a:prstGeom>
                  </pic:spPr>
                </pic:pic>
              </a:graphicData>
            </a:graphic>
          </wp:inline>
        </w:drawing>
      </w:r>
    </w:p>
    <w:p>
      <w:pPr>
        <w:jc w:val="center"/>
      </w:pPr>
      <w:r>
        <w:rPr>
          <w:rFonts w:hint="eastAsia" w:asciiTheme="minorEastAsia" w:hAnsiTheme="minorEastAsia"/>
          <w:szCs w:val="21"/>
        </w:rPr>
        <w:t>金控浦银</w:t>
      </w:r>
      <w:r>
        <w:t>的</w:t>
      </w:r>
      <w:r>
        <w:rPr>
          <w:rFonts w:hint="eastAsia"/>
        </w:rPr>
        <w:t>的</w:t>
      </w:r>
      <w:r>
        <w:rPr>
          <w:rFonts w:hint="eastAsia" w:asciiTheme="minorEastAsia" w:hAnsiTheme="minorEastAsia"/>
          <w:szCs w:val="21"/>
        </w:rPr>
        <w:t>惠</w:t>
      </w:r>
      <w:r>
        <w:rPr>
          <w:rFonts w:hint="eastAsia"/>
        </w:rPr>
        <w:t>总与项目方进行深刻交流</w:t>
      </w:r>
    </w:p>
    <w:p>
      <w:pPr>
        <w:jc w:val="center"/>
      </w:pPr>
      <w:r>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pPr>
      <w:r>
        <w:rPr>
          <w:rFonts w:hint="eastAsia"/>
        </w:rPr>
        <w:t>实领投资的张总</w:t>
      </w:r>
      <w:r>
        <w:rPr>
          <w:rFonts w:hint="default"/>
        </w:rPr>
        <w:t>对项目方</w:t>
      </w:r>
      <w:r>
        <w:rPr>
          <w:rFonts w:hint="eastAsia"/>
        </w:rPr>
        <w:t>进行点评</w:t>
      </w:r>
    </w:p>
    <w:p>
      <w:pPr>
        <w:jc w:val="center"/>
      </w:pPr>
    </w:p>
    <w:p>
      <w:pPr>
        <w:pStyle w:val="11"/>
        <w:spacing w:line="400" w:lineRule="exact"/>
        <w:ind w:firstLine="0" w:firstLineChars="0"/>
        <w:jc w:val="center"/>
        <w:outlineLvl w:val="0"/>
        <w:rPr>
          <w:rFonts w:hint="default" w:ascii="宋体" w:hAnsi="宋体"/>
          <w:b/>
          <w:szCs w:val="21"/>
        </w:rPr>
      </w:pPr>
      <w:r>
        <w:rPr>
          <w:rFonts w:ascii="宋体" w:hAnsi="宋体"/>
          <w:b/>
          <w:szCs w:val="21"/>
        </w:rPr>
        <w:t>项目信息回顾</w:t>
      </w:r>
    </w:p>
    <w:p>
      <w:pPr>
        <w:widowControl/>
        <w:numPr>
          <w:ilvl w:val="0"/>
          <w:numId w:val="1"/>
        </w:numPr>
        <w:spacing w:line="400" w:lineRule="exact"/>
        <w:jc w:val="left"/>
        <w:rPr>
          <w:rFonts w:ascii="Times New Roman" w:hAnsi="Times New Roman"/>
        </w:rPr>
      </w:pPr>
      <w:r>
        <w:rPr>
          <w:rFonts w:hint="eastAsia"/>
          <w:szCs w:val="21"/>
        </w:rPr>
        <w:t>杭州蓝捷氢能科技有限公司</w:t>
      </w:r>
    </w:p>
    <w:p>
      <w:pPr>
        <w:widowControl/>
        <w:jc w:val="left"/>
        <w:rPr>
          <w:rFonts w:ascii="Times New Roman" w:hAnsi="Times New Roman"/>
        </w:rPr>
      </w:pPr>
      <w:r>
        <w:rPr>
          <w:rFonts w:ascii="Times New Roman" w:hAnsi="Times New Roman"/>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16"/>
      </w:pPr>
      <w:r>
        <w:rPr>
          <w:rFonts w:hint="eastAsia"/>
        </w:rPr>
        <w:t>公司成立于</w:t>
      </w:r>
      <w:r>
        <w:t>2017</w:t>
      </w:r>
      <w:r>
        <w:rPr>
          <w:rFonts w:hint="eastAsia"/>
        </w:rPr>
        <w:t>年</w:t>
      </w:r>
      <w:r>
        <w:t>4</w:t>
      </w:r>
      <w:r>
        <w:rPr>
          <w:rFonts w:hint="eastAsia"/>
        </w:rPr>
        <w:t>月，专注于研发液氢增压及气化系统，其主要设备有低温高压液氢泵及液氢汽化器，分别为</w:t>
      </w:r>
      <w:r>
        <w:t>45MPa</w:t>
      </w:r>
      <w:r>
        <w:rPr>
          <w:rFonts w:hint="eastAsia"/>
        </w:rPr>
        <w:t>和</w:t>
      </w:r>
      <w:r>
        <w:t>88MPa</w:t>
      </w:r>
      <w:r>
        <w:rPr>
          <w:rFonts w:hint="eastAsia"/>
        </w:rPr>
        <w:t>压力等级应对于未来</w:t>
      </w:r>
      <w:r>
        <w:t>35MPa</w:t>
      </w:r>
      <w:r>
        <w:rPr>
          <w:rFonts w:hint="eastAsia"/>
        </w:rPr>
        <w:t>和</w:t>
      </w:r>
      <w:r>
        <w:t>70MPa</w:t>
      </w:r>
      <w:r>
        <w:rPr>
          <w:rFonts w:hint="eastAsia"/>
        </w:rPr>
        <w:t>液氢加氢站。目前公司与中国航天</w:t>
      </w:r>
      <w:r>
        <w:t>101</w:t>
      </w:r>
      <w:r>
        <w:rPr>
          <w:rFonts w:hint="eastAsia"/>
        </w:rPr>
        <w:t>所正式签订了独家联合开发协议，在航天院所内建设了液氢加氢实验平台，并于</w:t>
      </w:r>
      <w:r>
        <w:t>2019</w:t>
      </w:r>
      <w:r>
        <w:rPr>
          <w:rFonts w:hint="eastAsia"/>
        </w:rPr>
        <w:t>年初共同成立了研发中心。公司研发的第一代低温泵及汽化器已于</w:t>
      </w:r>
      <w:r>
        <w:t>2019</w:t>
      </w:r>
      <w:r>
        <w:rPr>
          <w:rFonts w:hint="eastAsia"/>
        </w:rPr>
        <w:t>年</w:t>
      </w:r>
      <w:r>
        <w:t>4</w:t>
      </w:r>
      <w:r>
        <w:rPr>
          <w:rFonts w:hint="eastAsia"/>
        </w:rPr>
        <w:t>月在航天院内通过了液氮试压实验，成功将常压液氮增压至</w:t>
      </w:r>
      <w:r>
        <w:t>65MPa</w:t>
      </w:r>
      <w:r>
        <w:rPr>
          <w:rFonts w:hint="eastAsia"/>
        </w:rPr>
        <w:t>，初步验证了整套管路及控制系统。目前第二代液氢泵将于</w:t>
      </w:r>
      <w:r>
        <w:t>2019</w:t>
      </w:r>
      <w:r>
        <w:rPr>
          <w:rFonts w:hint="eastAsia"/>
        </w:rPr>
        <w:t>年</w:t>
      </w:r>
      <w:r>
        <w:t>6</w:t>
      </w:r>
      <w:r>
        <w:rPr>
          <w:rFonts w:hint="eastAsia"/>
        </w:rPr>
        <w:t>月在厂区内完成安装并进行不高于</w:t>
      </w:r>
      <w:r>
        <w:t>42MPa</w:t>
      </w:r>
      <w:r>
        <w:rPr>
          <w:rFonts w:hint="eastAsia"/>
        </w:rPr>
        <w:t>液氮试压。预计于</w:t>
      </w:r>
      <w:r>
        <w:t>2019</w:t>
      </w:r>
      <w:r>
        <w:rPr>
          <w:rFonts w:hint="eastAsia"/>
        </w:rPr>
        <w:t>年</w:t>
      </w:r>
      <w:r>
        <w:t>7</w:t>
      </w:r>
      <w:r>
        <w:rPr>
          <w:rFonts w:hint="eastAsia"/>
        </w:rPr>
        <w:t>月送至航天</w:t>
      </w:r>
      <w:r>
        <w:t>101</w:t>
      </w:r>
      <w:r>
        <w:rPr>
          <w:rFonts w:hint="eastAsia"/>
        </w:rPr>
        <w:t>所进行国内第一次液氢实验。同时公司已与上市公司富瑞氢能签订了独家供应商协议，未来销售有了初步的保障。液氢作为未来氢能源应用的高效储运方式，已在日美等国家得到了验证。本轮融资资金主要用于产品进一步优化实验、搭建内部实验平台并增加研发团队人员。</w:t>
      </w:r>
    </w:p>
    <w:p>
      <w:pPr>
        <w:pStyle w:val="15"/>
        <w:ind w:firstLine="0" w:firstLineChars="0"/>
      </w:pPr>
    </w:p>
    <w:p>
      <w:pPr>
        <w:pStyle w:val="11"/>
        <w:numPr>
          <w:ilvl w:val="0"/>
          <w:numId w:val="1"/>
        </w:numPr>
        <w:spacing w:line="400" w:lineRule="exact"/>
        <w:ind w:firstLine="0" w:firstLineChars="0"/>
        <w:outlineLvl w:val="0"/>
        <w:rPr>
          <w:rFonts w:hint="default" w:ascii="Times New Roman" w:hAnsi="Times New Roman"/>
        </w:rPr>
      </w:pPr>
      <w:r>
        <w:rPr>
          <w:szCs w:val="21"/>
        </w:rPr>
        <w:t>浙江氢途科技有限公司</w:t>
      </w:r>
    </w:p>
    <w:p>
      <w:pPr>
        <w:pStyle w:val="11"/>
        <w:ind w:firstLine="0" w:firstLineChars="0"/>
        <w:outlineLvl w:val="0"/>
        <w:rPr>
          <w:rFonts w:hint="default" w:ascii="宋体"/>
        </w:rPr>
      </w:pPr>
      <w:r>
        <w:rPr>
          <w:rFonts w:hint="default" w:ascii="宋体"/>
        </w:rPr>
        <w:drawing>
          <wp:inline distT="0" distB="0" distL="0" distR="0">
            <wp:extent cx="5274310" cy="39560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16"/>
      </w:pPr>
      <w:r>
        <w:rPr>
          <w:rFonts w:hint="eastAsia"/>
        </w:rPr>
        <w:t>公司成立于</w:t>
      </w:r>
      <w:r>
        <w:t>2016</w:t>
      </w:r>
      <w:r>
        <w:rPr>
          <w:rFonts w:hint="eastAsia"/>
        </w:rPr>
        <w:t>年，致力于燃料电池发动机的研发及提供整车工程服务，拥有多年燃料电池发动机及其核心零部件正向开发经验。目前团队已经建成以博士、硕士和从业十年以上的高级工程师为核心的研发团队，核心业务涉及燃料电池发动机及其关键部件设计、发动机系统控制技术开发、整车集成工程服务等。已经开发出</w:t>
      </w:r>
      <w:r>
        <w:t>30kW</w:t>
      </w:r>
      <w:r>
        <w:rPr>
          <w:rFonts w:hint="eastAsia"/>
        </w:rPr>
        <w:t>、</w:t>
      </w:r>
      <w:r>
        <w:t>36kW</w:t>
      </w:r>
      <w:r>
        <w:rPr>
          <w:rFonts w:hint="eastAsia"/>
        </w:rPr>
        <w:t>与</w:t>
      </w:r>
      <w:r>
        <w:t>40kW</w:t>
      </w:r>
      <w:r>
        <w:rPr>
          <w:rFonts w:hint="eastAsia"/>
        </w:rPr>
        <w:t>等多款通过国家强制检测的燃料电池发动机产品，另有</w:t>
      </w:r>
      <w:r>
        <w:t>52kW</w:t>
      </w:r>
      <w:r>
        <w:rPr>
          <w:rFonts w:hint="eastAsia"/>
        </w:rPr>
        <w:t>、</w:t>
      </w:r>
      <w:r>
        <w:t>60kW</w:t>
      </w:r>
      <w:r>
        <w:rPr>
          <w:rFonts w:hint="eastAsia"/>
        </w:rPr>
        <w:t>和</w:t>
      </w:r>
      <w:r>
        <w:t>80kW</w:t>
      </w:r>
      <w:r>
        <w:rPr>
          <w:rFonts w:hint="eastAsia"/>
        </w:rPr>
        <w:t>等多款发动机已经完成产品系列化开发。核心产品技术指标处于行业领先地位，同时具有良好的低温适应性和使用寿命；卓越的成本控制方案，使得产品性价比极高；同时配有智能化的控制系统，可实现在线故障诊断与容错控制，产品安全可靠。目前搭载氢途发动机的公交车已经在武汉、大同等地批量商业化运营，物流车也已经在德州等地实现批量交付。核心产品已经得到了市场的规模化验证。本轮融资资金主要用于产品的开发、批量生产、生产基地建设和市场开发。</w:t>
      </w:r>
    </w:p>
    <w:p>
      <w:pPr>
        <w:pStyle w:val="15"/>
        <w:ind w:firstLine="0" w:firstLineChars="0"/>
      </w:pPr>
    </w:p>
    <w:p>
      <w:pPr>
        <w:pStyle w:val="11"/>
        <w:numPr>
          <w:ilvl w:val="0"/>
          <w:numId w:val="1"/>
        </w:numPr>
        <w:spacing w:line="400" w:lineRule="exact"/>
        <w:ind w:firstLine="0" w:firstLineChars="0"/>
        <w:outlineLvl w:val="0"/>
        <w:rPr>
          <w:rFonts w:hint="default" w:ascii="宋体"/>
        </w:rPr>
      </w:pPr>
      <w:r>
        <w:rPr>
          <w:szCs w:val="21"/>
        </w:rPr>
        <w:t>杭州阔博科技有限公司</w:t>
      </w:r>
    </w:p>
    <w:p>
      <w:pPr>
        <w:widowControl/>
        <w:jc w:val="left"/>
        <w:rPr>
          <w:rFonts w:ascii="Times New Roman" w:hAnsi="Times New Roman"/>
        </w:rPr>
      </w:pPr>
      <w:r>
        <w:rPr>
          <w:rFonts w:ascii="Times New Roman" w:hAnsi="Times New Roman"/>
        </w:rPr>
        <w:drawing>
          <wp:inline distT="0" distB="0" distL="0" distR="0">
            <wp:extent cx="5274310" cy="39560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16"/>
      </w:pPr>
      <w:r>
        <w:rPr>
          <w:rFonts w:hint="eastAsia"/>
        </w:rPr>
        <w:t>公司是后补贴时代新能源汽车全系列电机控制方案优质提供商。公司拥有经验丰富、技术全面的技术骨干团队，掌握业界领先、发展成熟的电机控制核心技术，具备方案完整、覆盖全面的电控产品组合储备，构筑了深度协同、自成闭环的产业生态。该公司有能力快速响应新能源不同细分领域客户在后补贴时代的新需求，为客户快速交付行业最优方案。</w:t>
      </w:r>
      <w:bookmarkStart w:id="0" w:name="_GoBack"/>
      <w:bookmarkEnd w:id="0"/>
      <w:r>
        <w:rPr>
          <w:rFonts w:hint="eastAsia"/>
        </w:rPr>
        <w:t>该公司拥有一支经验丰富、技术精良的产品导向型技术专家团队，在武志强先生的带领下紧密协同、并肩战斗近二十年。团队产品经验全面覆盖低速</w:t>
      </w:r>
      <w:r>
        <w:t>/</w:t>
      </w:r>
      <w:r>
        <w:rPr>
          <w:rFonts w:hint="eastAsia"/>
        </w:rPr>
        <w:t>高速电动车、混合动力汽车、氢燃料电池汽车等领域，技术能力全面覆盖电机控制器及新能源动力总成硬件和软件领域，在电控产品定义、开发流程、测试规范、批量生产、硬件架构、电磁兼容、先进控制算法等方便具有深厚的经验积累和实战经验。公司共计获得发明专利</w:t>
      </w:r>
      <w:r>
        <w:t>2</w:t>
      </w:r>
      <w:r>
        <w:rPr>
          <w:rFonts w:hint="eastAsia"/>
        </w:rPr>
        <w:t>项</w:t>
      </w:r>
      <w:r>
        <w:t>(1</w:t>
      </w:r>
      <w:r>
        <w:rPr>
          <w:rFonts w:hint="eastAsia"/>
        </w:rPr>
        <w:t>项申报中</w:t>
      </w:r>
      <w:r>
        <w:t>)</w:t>
      </w:r>
      <w:r>
        <w:rPr>
          <w:rFonts w:hint="eastAsia"/>
        </w:rPr>
        <w:t>，实用新型专利</w:t>
      </w:r>
      <w:r>
        <w:t>16</w:t>
      </w:r>
      <w:r>
        <w:rPr>
          <w:rFonts w:hint="eastAsia"/>
        </w:rPr>
        <w:t>项，软著</w:t>
      </w:r>
      <w:r>
        <w:t>24</w:t>
      </w:r>
      <w:r>
        <w:rPr>
          <w:rFonts w:hint="eastAsia"/>
        </w:rPr>
        <w:t>项；自</w:t>
      </w:r>
      <w:r>
        <w:t>2009</w:t>
      </w:r>
      <w:r>
        <w:rPr>
          <w:rFonts w:hint="eastAsia"/>
        </w:rPr>
        <w:t>年开始连续</w:t>
      </w:r>
      <w:r>
        <w:t>10</w:t>
      </w:r>
      <w:r>
        <w:rPr>
          <w:rFonts w:hint="eastAsia"/>
        </w:rPr>
        <w:t>年获得高新技术企业称号；公司承接杭州市重大科技创新项目、获得杭州市研发中心称号，并正在筹备成为浙江省研发中心。本轮融资资金主要用于产品的生产和市场开拓。</w:t>
      </w:r>
    </w:p>
    <w:p>
      <w:pPr>
        <w:pStyle w:val="15"/>
        <w:ind w:firstLine="0" w:firstLineChars="0"/>
      </w:pPr>
    </w:p>
    <w:p>
      <w:pPr>
        <w:widowControl/>
        <w:numPr>
          <w:ilvl w:val="0"/>
          <w:numId w:val="1"/>
        </w:numPr>
        <w:spacing w:line="400" w:lineRule="exact"/>
        <w:jc w:val="left"/>
        <w:rPr>
          <w:rFonts w:ascii="Times New Roman" w:hAnsi="Times New Roman"/>
        </w:rPr>
      </w:pPr>
      <w:r>
        <w:rPr>
          <w:rFonts w:hint="eastAsia" w:ascii="Times New Roman" w:hAnsi="Times New Roman"/>
        </w:rPr>
        <w:t>浙江氢谷新能源汽车有限公</w:t>
      </w:r>
      <w:r>
        <w:rPr>
          <w:rFonts w:hint="eastAsia"/>
          <w:szCs w:val="21"/>
        </w:rPr>
        <w:t>司</w:t>
      </w:r>
    </w:p>
    <w:p>
      <w:pPr>
        <w:widowControl/>
        <w:jc w:val="left"/>
        <w:rPr>
          <w:rFonts w:ascii="Times New Roman" w:hAnsi="Times New Roman"/>
        </w:rPr>
      </w:pPr>
      <w:r>
        <w:rPr>
          <w:rFonts w:ascii="Times New Roman" w:hAnsi="Times New Roman"/>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16"/>
      </w:pPr>
      <w:r>
        <w:rPr>
          <w:rFonts w:hint="eastAsia"/>
          <w:lang w:bidi="en-US"/>
        </w:rPr>
        <w:t>公司成立于</w:t>
      </w:r>
      <w:r>
        <w:rPr>
          <w:lang w:bidi="en-US"/>
        </w:rPr>
        <w:t>2017</w:t>
      </w:r>
      <w:r>
        <w:rPr>
          <w:rFonts w:hint="eastAsia"/>
          <w:lang w:bidi="en-US"/>
        </w:rPr>
        <w:t>年</w:t>
      </w:r>
      <w:r>
        <w:rPr>
          <w:lang w:bidi="en-US"/>
        </w:rPr>
        <w:t>3</w:t>
      </w:r>
      <w:r>
        <w:rPr>
          <w:rFonts w:hint="eastAsia"/>
          <w:lang w:bidi="en-US"/>
        </w:rPr>
        <w:t>月</w:t>
      </w:r>
      <w:r>
        <w:rPr>
          <w:lang w:bidi="en-US"/>
        </w:rPr>
        <w:t>28</w:t>
      </w:r>
      <w:r>
        <w:rPr>
          <w:rFonts w:hint="eastAsia"/>
          <w:lang w:bidi="en-US"/>
        </w:rPr>
        <w:t>日。为氢能源汽车及核心零部件研发、制造、生产、销售为一体的氢能全产业链公司。从终端应用到前端配套掌握氢燃料电池、镁基锂电池、变速箱、控制器、甲醇制氢等多项核心技术。致力于成为氢能行业的解决方案提供商和技术集成供应商，打造氢能新业态。产业园坐落于浙江德清莫干山高新区，投资总额</w:t>
      </w:r>
      <w:r>
        <w:rPr>
          <w:lang w:bidi="en-US"/>
        </w:rPr>
        <w:t>120</w:t>
      </w:r>
      <w:r>
        <w:rPr>
          <w:rFonts w:hint="eastAsia"/>
          <w:lang w:bidi="en-US"/>
        </w:rPr>
        <w:t>亿元，总规划</w:t>
      </w:r>
      <w:r>
        <w:rPr>
          <w:lang w:bidi="en-US"/>
        </w:rPr>
        <w:t>1450</w:t>
      </w:r>
      <w:r>
        <w:rPr>
          <w:rFonts w:hint="eastAsia"/>
          <w:lang w:bidi="en-US"/>
        </w:rPr>
        <w:t>亩。其中燃料电池制造项目由戴姆勒</w:t>
      </w:r>
      <w:r>
        <w:rPr>
          <w:lang w:bidi="en-US"/>
        </w:rPr>
        <w:t>AFCC</w:t>
      </w:r>
      <w:r>
        <w:rPr>
          <w:rFonts w:hint="eastAsia"/>
          <w:lang w:bidi="en-US"/>
        </w:rPr>
        <w:t>燃料电池首席科学家李晶牵头，引进加拿大核心技术，专注于车用燃料电池电堆的研发和生产。产品已获得国家强检报告，于</w:t>
      </w:r>
      <w:r>
        <w:rPr>
          <w:lang w:bidi="en-US"/>
        </w:rPr>
        <w:t>2018</w:t>
      </w:r>
      <w:r>
        <w:rPr>
          <w:rFonts w:hint="eastAsia"/>
          <w:lang w:bidi="en-US"/>
        </w:rPr>
        <w:t>年配套东风汽车并获得工信部准入目录。公司已获得中铁联运公司长期</w:t>
      </w:r>
      <w:r>
        <w:rPr>
          <w:lang w:bidi="en-US"/>
        </w:rPr>
        <w:t>10</w:t>
      </w:r>
      <w:r>
        <w:rPr>
          <w:rFonts w:hint="eastAsia"/>
          <w:lang w:bidi="en-US"/>
        </w:rPr>
        <w:t>万台氢能源重卡订单，现有资金需求</w:t>
      </w:r>
      <w:r>
        <w:rPr>
          <w:lang w:bidi="en-US"/>
        </w:rPr>
        <w:t>5000</w:t>
      </w:r>
      <w:r>
        <w:rPr>
          <w:rFonts w:hint="eastAsia"/>
          <w:lang w:bidi="en-US"/>
        </w:rPr>
        <w:t>万元，释放</w:t>
      </w:r>
      <w:r>
        <w:rPr>
          <w:lang w:bidi="en-US"/>
        </w:rPr>
        <w:t>15%</w:t>
      </w:r>
      <w:r>
        <w:rPr>
          <w:rFonts w:hint="eastAsia"/>
          <w:lang w:bidi="en-US"/>
        </w:rPr>
        <w:t>燃料电池制造公司股权，用于首批</w:t>
      </w:r>
      <w:r>
        <w:rPr>
          <w:lang w:bidi="en-US"/>
        </w:rPr>
        <w:t>11.8</w:t>
      </w:r>
      <w:r>
        <w:rPr>
          <w:rFonts w:hint="eastAsia"/>
          <w:lang w:bidi="en-US"/>
        </w:rPr>
        <w:t>亿元氢能源重卡订单的燃料电池电堆配套生产。</w:t>
      </w:r>
    </w:p>
    <w:p>
      <w:pPr>
        <w:pStyle w:val="11"/>
        <w:spacing w:line="400" w:lineRule="exact"/>
        <w:ind w:firstLine="0" w:firstLineChars="0"/>
        <w:outlineLvl w:val="0"/>
        <w:rPr>
          <w:rFonts w:hint="default" w:ascii="宋体" w:hAnsi="宋体"/>
          <w:szCs w:val="21"/>
        </w:rPr>
      </w:pPr>
    </w:p>
    <w:p>
      <w:pPr>
        <w:pStyle w:val="11"/>
        <w:numPr>
          <w:ilvl w:val="0"/>
          <w:numId w:val="1"/>
        </w:numPr>
        <w:spacing w:line="400" w:lineRule="exact"/>
        <w:ind w:firstLine="0" w:firstLineChars="0"/>
        <w:outlineLvl w:val="0"/>
        <w:rPr>
          <w:rFonts w:hint="default" w:ascii="Times New Roman" w:hAnsi="Times New Roman"/>
        </w:rPr>
      </w:pPr>
      <w:r>
        <w:rPr>
          <w:rFonts w:ascii="Times New Roman" w:hAnsi="Times New Roman"/>
        </w:rPr>
        <w:t>杭州赫日新能源科技有限公司</w:t>
      </w:r>
    </w:p>
    <w:p>
      <w:pPr>
        <w:pStyle w:val="11"/>
        <w:ind w:firstLine="0" w:firstLineChars="0"/>
        <w:outlineLvl w:val="0"/>
        <w:rPr>
          <w:rFonts w:hint="default" w:ascii="宋体"/>
        </w:rPr>
      </w:pPr>
      <w:r>
        <w:rPr>
          <w:rFonts w:hint="default" w:ascii="宋体"/>
        </w:rPr>
        <w:drawing>
          <wp:inline distT="0" distB="0" distL="0" distR="0">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16"/>
      </w:pPr>
      <w:r>
        <w:rPr>
          <w:rFonts w:hint="eastAsia"/>
        </w:rPr>
        <w:t>公司始建于</w:t>
      </w:r>
      <w:r>
        <w:t xml:space="preserve">2014 </w:t>
      </w:r>
      <w:r>
        <w:rPr>
          <w:rFonts w:hint="eastAsia"/>
        </w:rPr>
        <w:t>年</w:t>
      </w:r>
      <w:r>
        <w:t xml:space="preserve">4 </w:t>
      </w:r>
      <w:r>
        <w:rPr>
          <w:rFonts w:hint="eastAsia"/>
        </w:rPr>
        <w:t>月，主要从事高效增程式纯电动汽车动力总成及新型超高效增程器专用发动机的研发、制造、销售及服务等业务。公司位于杭州经济技术开发区高新科技企业创业园内，拥有办公面积约</w:t>
      </w:r>
      <w:r>
        <w:t xml:space="preserve">570 </w:t>
      </w:r>
      <w:r>
        <w:rPr>
          <w:rFonts w:hint="eastAsia"/>
        </w:rPr>
        <w:t>㎡，试验室及中试车间约</w:t>
      </w:r>
      <w:r>
        <w:t xml:space="preserve">600 </w:t>
      </w:r>
      <w:r>
        <w:rPr>
          <w:rFonts w:hint="eastAsia"/>
        </w:rPr>
        <w:t>㎡，目前员工</w:t>
      </w:r>
      <w:r>
        <w:t xml:space="preserve">40 </w:t>
      </w:r>
      <w:r>
        <w:rPr>
          <w:rFonts w:hint="eastAsia"/>
        </w:rPr>
        <w:t>余人，其中教授级专家</w:t>
      </w:r>
      <w:r>
        <w:t xml:space="preserve">6 </w:t>
      </w:r>
      <w:r>
        <w:rPr>
          <w:rFonts w:hint="eastAsia"/>
        </w:rPr>
        <w:t>人，中级研究人员</w:t>
      </w:r>
      <w:r>
        <w:t xml:space="preserve">30 </w:t>
      </w:r>
      <w:r>
        <w:rPr>
          <w:rFonts w:hint="eastAsia"/>
        </w:rPr>
        <w:t>余人。公司主要产品包括</w:t>
      </w:r>
      <w:r>
        <w:t>HRV2</w:t>
      </w:r>
      <w:r>
        <w:rPr>
          <w:rFonts w:hint="eastAsia"/>
        </w:rPr>
        <w:t>、</w:t>
      </w:r>
      <w:r>
        <w:t>HRLS</w:t>
      </w:r>
      <w:r>
        <w:rPr>
          <w:rFonts w:hint="eastAsia"/>
        </w:rPr>
        <w:t>、</w:t>
      </w:r>
      <w:r>
        <w:t xml:space="preserve">HRHS </w:t>
      </w:r>
      <w:r>
        <w:rPr>
          <w:rFonts w:hint="eastAsia"/>
        </w:rPr>
        <w:t>增程式纯电动汽车增程器系列，功率覆盖</w:t>
      </w:r>
      <w:r>
        <w:t>16kW-60kW</w:t>
      </w:r>
      <w:r>
        <w:rPr>
          <w:rFonts w:hint="eastAsia"/>
        </w:rPr>
        <w:t>；以及超高效增程器专用发动机，排量涵盖</w:t>
      </w:r>
      <w:r>
        <w:t>0.6L-2.0L</w:t>
      </w:r>
      <w:r>
        <w:rPr>
          <w:rFonts w:hint="eastAsia"/>
        </w:rPr>
        <w:t>；生产经营管理上，公司导入了精益信息化生产管理模式，已通过</w:t>
      </w:r>
      <w:r>
        <w:t xml:space="preserve">TS16949 </w:t>
      </w:r>
      <w:r>
        <w:rPr>
          <w:rFonts w:hint="eastAsia"/>
        </w:rPr>
        <w:t>质量体系认证。公司已取得授权专利</w:t>
      </w:r>
      <w:r>
        <w:t xml:space="preserve">7 </w:t>
      </w:r>
      <w:r>
        <w:rPr>
          <w:rFonts w:hint="eastAsia"/>
        </w:rPr>
        <w:t>项，计算机软件著作</w:t>
      </w:r>
      <w:r>
        <w:t xml:space="preserve">2 </w:t>
      </w:r>
      <w:r>
        <w:rPr>
          <w:rFonts w:hint="eastAsia"/>
        </w:rPr>
        <w:t>项。公司具有自主研发核心技术的增程器产品已通过中试，并完成了小批量试产，样机已提供给整车厂家进行路试，现已积累了大量的意向订单。公司现与国内外多家整车企业进行合作，致力于打造行业领先的增程式纯电动汽车动力总成核心竞争力，成就高效节能环保动力总成供应商，满足各方合作伙伴的需求。本轮融资资金主要用于增程器一代产品的产业化及增程器二代产品的开发和市场开拓。</w:t>
      </w:r>
    </w:p>
    <w:p>
      <w:pPr>
        <w:pStyle w:val="11"/>
        <w:spacing w:line="400" w:lineRule="exact"/>
        <w:ind w:firstLine="0" w:firstLineChars="0"/>
        <w:outlineLvl w:val="0"/>
        <w:rPr>
          <w:rFonts w:hint="default" w:ascii="宋体"/>
        </w:rPr>
      </w:pPr>
    </w:p>
    <w:p>
      <w:pPr>
        <w:pStyle w:val="11"/>
        <w:spacing w:line="400" w:lineRule="exact"/>
        <w:ind w:firstLine="0" w:firstLineChars="0"/>
        <w:outlineLvl w:val="0"/>
        <w:rPr>
          <w:rFonts w:hint="default" w:ascii="Times New Roman" w:hAnsi="Times New Roman"/>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815205" cy="8853805"/>
            <wp:effectExtent l="0" t="0" r="10795" b="1079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3"/>
                    <a:stretch>
                      <a:fillRect/>
                    </a:stretch>
                  </pic:blipFill>
                  <pic:spPr>
                    <a:xfrm>
                      <a:off x="0" y="0"/>
                      <a:ext cx="4815205" cy="88538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0" w:usb3="00000000" w:csb0="0000019F" w:csb1="00000000"/>
  </w:font>
  <w:font w:name="华文中宋">
    <w:altName w:val="华文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华文宋体">
    <w:panose1 w:val="02010600040101010101"/>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AEECBC"/>
    <w:multiLevelType w:val="singleLevel"/>
    <w:tmpl w:val="5CAEECB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96B"/>
    <w:rsid w:val="000435CD"/>
    <w:rsid w:val="000547D6"/>
    <w:rsid w:val="000C7DFC"/>
    <w:rsid w:val="000D08B4"/>
    <w:rsid w:val="00147D5B"/>
    <w:rsid w:val="00157551"/>
    <w:rsid w:val="00192EC4"/>
    <w:rsid w:val="001A00EE"/>
    <w:rsid w:val="001A1C82"/>
    <w:rsid w:val="001C2C94"/>
    <w:rsid w:val="001E389C"/>
    <w:rsid w:val="002428F0"/>
    <w:rsid w:val="0026060B"/>
    <w:rsid w:val="0026660E"/>
    <w:rsid w:val="002D27E5"/>
    <w:rsid w:val="002D3D8A"/>
    <w:rsid w:val="00307C34"/>
    <w:rsid w:val="00374D67"/>
    <w:rsid w:val="00394AF8"/>
    <w:rsid w:val="0039784E"/>
    <w:rsid w:val="003A7F1A"/>
    <w:rsid w:val="00427973"/>
    <w:rsid w:val="00460134"/>
    <w:rsid w:val="00485645"/>
    <w:rsid w:val="0049430A"/>
    <w:rsid w:val="00494523"/>
    <w:rsid w:val="004B0623"/>
    <w:rsid w:val="004C0698"/>
    <w:rsid w:val="00505A92"/>
    <w:rsid w:val="00525215"/>
    <w:rsid w:val="00535803"/>
    <w:rsid w:val="00545E73"/>
    <w:rsid w:val="005575A3"/>
    <w:rsid w:val="00571D57"/>
    <w:rsid w:val="005B7922"/>
    <w:rsid w:val="005B7FBC"/>
    <w:rsid w:val="005D043E"/>
    <w:rsid w:val="006120D9"/>
    <w:rsid w:val="0061409F"/>
    <w:rsid w:val="0066085E"/>
    <w:rsid w:val="00662186"/>
    <w:rsid w:val="00662F67"/>
    <w:rsid w:val="00673A7D"/>
    <w:rsid w:val="00676A82"/>
    <w:rsid w:val="00720D02"/>
    <w:rsid w:val="00743E3F"/>
    <w:rsid w:val="00750E17"/>
    <w:rsid w:val="00761847"/>
    <w:rsid w:val="00767403"/>
    <w:rsid w:val="007761EE"/>
    <w:rsid w:val="007A2967"/>
    <w:rsid w:val="007E50BD"/>
    <w:rsid w:val="008047CD"/>
    <w:rsid w:val="00826947"/>
    <w:rsid w:val="00830E2E"/>
    <w:rsid w:val="00850C4A"/>
    <w:rsid w:val="0085221C"/>
    <w:rsid w:val="0086267D"/>
    <w:rsid w:val="008901A7"/>
    <w:rsid w:val="008B5BE3"/>
    <w:rsid w:val="009003A6"/>
    <w:rsid w:val="00934566"/>
    <w:rsid w:val="00945337"/>
    <w:rsid w:val="0094581B"/>
    <w:rsid w:val="00945E78"/>
    <w:rsid w:val="009757E2"/>
    <w:rsid w:val="00984DAE"/>
    <w:rsid w:val="00987895"/>
    <w:rsid w:val="009D646D"/>
    <w:rsid w:val="009E786F"/>
    <w:rsid w:val="00A11223"/>
    <w:rsid w:val="00A31C5A"/>
    <w:rsid w:val="00A35374"/>
    <w:rsid w:val="00A447FB"/>
    <w:rsid w:val="00A47A5D"/>
    <w:rsid w:val="00A76FD8"/>
    <w:rsid w:val="00AA5ED6"/>
    <w:rsid w:val="00AC0A86"/>
    <w:rsid w:val="00AD4746"/>
    <w:rsid w:val="00AF2EB7"/>
    <w:rsid w:val="00B2073A"/>
    <w:rsid w:val="00B37292"/>
    <w:rsid w:val="00B4096B"/>
    <w:rsid w:val="00B849A5"/>
    <w:rsid w:val="00BB611F"/>
    <w:rsid w:val="00BC0E68"/>
    <w:rsid w:val="00BC4F6D"/>
    <w:rsid w:val="00BE46F4"/>
    <w:rsid w:val="00C20ADA"/>
    <w:rsid w:val="00C30245"/>
    <w:rsid w:val="00C52E6F"/>
    <w:rsid w:val="00C555BC"/>
    <w:rsid w:val="00C6773E"/>
    <w:rsid w:val="00C83785"/>
    <w:rsid w:val="00CA4256"/>
    <w:rsid w:val="00CB76D7"/>
    <w:rsid w:val="00CC5DB4"/>
    <w:rsid w:val="00D4389F"/>
    <w:rsid w:val="00D5124B"/>
    <w:rsid w:val="00DA30AF"/>
    <w:rsid w:val="00DC6612"/>
    <w:rsid w:val="00DC7983"/>
    <w:rsid w:val="00DD5B31"/>
    <w:rsid w:val="00DF2552"/>
    <w:rsid w:val="00E07282"/>
    <w:rsid w:val="00E122F4"/>
    <w:rsid w:val="00E441A6"/>
    <w:rsid w:val="00E56E2A"/>
    <w:rsid w:val="00E838B2"/>
    <w:rsid w:val="00EA7C58"/>
    <w:rsid w:val="00EC1584"/>
    <w:rsid w:val="00ED0A66"/>
    <w:rsid w:val="00ED2830"/>
    <w:rsid w:val="00EE2C81"/>
    <w:rsid w:val="00EE615E"/>
    <w:rsid w:val="00F36B23"/>
    <w:rsid w:val="00F36FC6"/>
    <w:rsid w:val="00F43A8D"/>
    <w:rsid w:val="00F758C7"/>
    <w:rsid w:val="00F77197"/>
    <w:rsid w:val="00F8414B"/>
    <w:rsid w:val="00FE06D5"/>
    <w:rsid w:val="0FFFDACE"/>
    <w:rsid w:val="3FFF54DB"/>
    <w:rsid w:val="5FD06A97"/>
    <w:rsid w:val="6F73868F"/>
    <w:rsid w:val="7BBB1E22"/>
    <w:rsid w:val="7DC46961"/>
    <w:rsid w:val="7EFAD92A"/>
    <w:rsid w:val="AF771685"/>
    <w:rsid w:val="DEFD9D27"/>
    <w:rsid w:val="EBE7CD1E"/>
    <w:rsid w:val="F56D99BB"/>
    <w:rsid w:val="FBFE82AF"/>
    <w:rsid w:val="FE4F4FBB"/>
    <w:rsid w:val="FE5EC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4"/>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rPr>
      <w:sz w:val="24"/>
    </w:rPr>
  </w:style>
  <w:style w:type="paragraph" w:styleId="6">
    <w:name w:val="Title"/>
    <w:basedOn w:val="1"/>
    <w:next w:val="1"/>
    <w:link w:val="13"/>
    <w:qFormat/>
    <w:uiPriority w:val="0"/>
    <w:pPr>
      <w:ind w:firstLine="420"/>
    </w:pPr>
    <w:rPr>
      <w:rFonts w:ascii="Times New Roman" w:hAnsi="Times New Roman" w:eastAsia="宋体" w:cs="Times New Roman"/>
      <w:kern w:val="0"/>
      <w:szCs w:val="24"/>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paragraph" w:customStyle="1" w:styleId="11">
    <w:name w:val="列出段落1"/>
    <w:basedOn w:val="1"/>
    <w:qFormat/>
    <w:uiPriority w:val="99"/>
    <w:pPr>
      <w:ind w:firstLine="420" w:firstLineChars="200"/>
    </w:pPr>
    <w:rPr>
      <w:rFonts w:hint="eastAsia" w:ascii="Calibri" w:hAnsi="Calibri" w:eastAsia="宋体" w:cs="Times New Roman"/>
    </w:rPr>
  </w:style>
  <w:style w:type="character" w:customStyle="1" w:styleId="12">
    <w:name w:val="标题 字符"/>
    <w:basedOn w:val="7"/>
    <w:qFormat/>
    <w:uiPriority w:val="10"/>
    <w:rPr>
      <w:rFonts w:asciiTheme="majorHAnsi" w:hAnsiTheme="majorHAnsi" w:eastAsiaTheme="majorEastAsia" w:cstheme="majorBidi"/>
      <w:b/>
      <w:bCs/>
      <w:sz w:val="32"/>
      <w:szCs w:val="32"/>
    </w:rPr>
  </w:style>
  <w:style w:type="character" w:customStyle="1" w:styleId="13">
    <w:name w:val="标题 Char"/>
    <w:link w:val="6"/>
    <w:qFormat/>
    <w:uiPriority w:val="0"/>
    <w:rPr>
      <w:rFonts w:ascii="Times New Roman" w:hAnsi="Times New Roman" w:eastAsia="宋体" w:cs="Times New Roman"/>
      <w:kern w:val="0"/>
      <w:szCs w:val="24"/>
    </w:rPr>
  </w:style>
  <w:style w:type="character" w:customStyle="1" w:styleId="14">
    <w:name w:val="批注框文本 Char"/>
    <w:basedOn w:val="7"/>
    <w:link w:val="2"/>
    <w:semiHidden/>
    <w:qFormat/>
    <w:uiPriority w:val="99"/>
    <w:rPr>
      <w:sz w:val="18"/>
      <w:szCs w:val="18"/>
    </w:rPr>
  </w:style>
  <w:style w:type="paragraph" w:customStyle="1" w:styleId="15">
    <w:name w:val="6"/>
    <w:basedOn w:val="1"/>
    <w:qFormat/>
    <w:uiPriority w:val="0"/>
    <w:pPr>
      <w:widowControl/>
      <w:spacing w:line="400" w:lineRule="exact"/>
      <w:ind w:firstLine="420" w:firstLineChars="200"/>
      <w:jc w:val="left"/>
    </w:pPr>
    <w:rPr>
      <w:rFonts w:ascii="Times New Roman" w:hAnsi="Times New Roman"/>
    </w:rPr>
  </w:style>
  <w:style w:type="paragraph" w:customStyle="1" w:styleId="16">
    <w:name w:val="123123"/>
    <w:basedOn w:val="11"/>
    <w:qFormat/>
    <w:uiPriority w:val="0"/>
    <w:pPr>
      <w:spacing w:line="400" w:lineRule="exact"/>
      <w:outlineLvl w:val="0"/>
    </w:pPr>
    <w:rPr>
      <w:rFonts w:hint="default" w:ascii="Times New Roman" w:hAnsi="Times New Roman"/>
    </w:rPr>
  </w:style>
  <w:style w:type="paragraph" w:customStyle="1" w:styleId="17">
    <w:name w:val="List Paragraph"/>
    <w:basedOn w:val="1"/>
    <w:unhideWhenUsed/>
    <w:qFormat/>
    <w:uiPriority w:val="99"/>
    <w:pPr>
      <w:ind w:firstLine="420" w:firstLineChars="200"/>
    </w:pPr>
  </w:style>
  <w:style w:type="paragraph" w:customStyle="1" w:styleId="18">
    <w:name w:val="666"/>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368</Words>
  <Characters>2100</Characters>
  <Lines>17</Lines>
  <Paragraphs>4</Paragraphs>
  <TotalTime>0</TotalTime>
  <ScaleCrop>false</ScaleCrop>
  <LinksUpToDate>false</LinksUpToDate>
  <CharactersWithSpaces>2464</CharactersWithSpaces>
  <Application>WPS Office_1.1.0.1454_F1E327BC-269C-435d-A152-05C5408002CA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2019-05-27T15:18:00Z</dcterms:created>
  <dc:creator>hzp</dc:creator>
  <cp:lastModifiedBy>yuanzhen</cp:lastModifiedBy>
  <dcterms:modified xsi:type="dcterms:W3CDTF">2019-06-05T16:47:26Z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2052-1.1.0.1454</vt:lpwstr>
  </property>
</Properties>
</file>