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/>
        <w:rPr>
          <w:rFonts w:hint="eastAsia" w:ascii="Times New Roman" w:hAnsi="Times New Roman" w:eastAsiaTheme="minorEastAsia"/>
          <w:color w:val="000000"/>
          <w:kern w:val="0"/>
          <w:sz w:val="36"/>
          <w:szCs w:val="36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36"/>
          <w:szCs w:val="36"/>
        </w:rPr>
        <w:t>『浙里融精彩回放』</w:t>
      </w:r>
      <w:r>
        <w:rPr>
          <w:rFonts w:hint="eastAsia" w:ascii="Times New Roman" w:hAnsi="Times New Roman"/>
          <w:color w:val="000000"/>
          <w:kern w:val="0"/>
          <w:sz w:val="36"/>
          <w:szCs w:val="36"/>
        </w:rPr>
        <w:t>浙里融&amp;</w:t>
      </w:r>
      <w:r>
        <w:rPr>
          <w:rFonts w:hint="eastAsia" w:ascii="Times New Roman" w:hAnsi="Times New Roman"/>
          <w:color w:val="000000"/>
          <w:kern w:val="0"/>
          <w:sz w:val="36"/>
          <w:szCs w:val="36"/>
          <w:lang w:eastAsia="zh-CN"/>
        </w:rPr>
        <w:t>阿里</w:t>
      </w:r>
      <w:r>
        <w:rPr>
          <w:rFonts w:hint="eastAsia" w:ascii="Times New Roman" w:hAnsi="Times New Roman"/>
          <w:color w:val="000000"/>
          <w:kern w:val="0"/>
          <w:sz w:val="36"/>
          <w:szCs w:val="36"/>
        </w:rPr>
        <w:t>初橙会优质AI项目路演</w:t>
      </w:r>
      <w:r>
        <w:rPr>
          <w:rFonts w:hint="eastAsia" w:ascii="Times New Roman" w:hAnsi="Times New Roman"/>
          <w:color w:val="000000"/>
          <w:kern w:val="0"/>
          <w:sz w:val="36"/>
          <w:szCs w:val="36"/>
          <w:lang w:eastAsia="zh-CN"/>
        </w:rPr>
        <w:t>圆满落幕</w:t>
      </w:r>
    </w:p>
    <w:p>
      <w:pPr>
        <w:widowControl/>
        <w:rPr>
          <w:rFonts w:hint="eastAsia" w:ascii="Times New Roman" w:hAnsi="Times New Roman" w:eastAsia="微软雅黑" w:cs="Times New Roman"/>
          <w:b/>
          <w:color w:val="3E3E3E"/>
          <w:kern w:val="0"/>
          <w:sz w:val="24"/>
          <w:lang w:eastAsia="zh-CN"/>
        </w:rPr>
      </w:pPr>
      <w:r>
        <w:rPr>
          <w:rFonts w:hint="eastAsia" w:ascii="Times New Roman" w:hAnsi="Times New Roman" w:eastAsia="微软雅黑" w:cs="Times New Roman"/>
          <w:b/>
          <w:color w:val="3E3E3E"/>
          <w:kern w:val="0"/>
          <w:sz w:val="24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2" name="图片 2" descr="c07446489d93e607ac406e5063df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7446489d93e607ac406e5063df3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="宋体" w:hAnsi="宋体"/>
          <w:szCs w:val="21"/>
        </w:rPr>
        <w:t>201</w:t>
      </w:r>
      <w:r>
        <w:rPr>
          <w:rFonts w:ascii="宋体" w:hAnsi="宋体"/>
          <w:szCs w:val="21"/>
        </w:rPr>
        <w:t>9</w:t>
      </w:r>
      <w:r>
        <w:rPr>
          <w:rFonts w:hint="eastAsia" w:ascii="宋体" w:hAnsi="宋体"/>
          <w:szCs w:val="21"/>
        </w:rPr>
        <w:t>年</w:t>
      </w:r>
      <w:r>
        <w:rPr>
          <w:rFonts w:hint="eastAsia" w:ascii="宋体" w:hAnsi="宋体"/>
          <w:szCs w:val="21"/>
          <w:lang w:val="en-US" w:eastAsia="zh-CN"/>
        </w:rPr>
        <w:t>7</w:t>
      </w:r>
      <w:r>
        <w:rPr>
          <w:rFonts w:hint="eastAsia" w:ascii="宋体" w:hAnsi="宋体"/>
          <w:szCs w:val="21"/>
        </w:rPr>
        <w:t>月</w:t>
      </w:r>
      <w:r>
        <w:rPr>
          <w:rFonts w:hint="eastAsia" w:ascii="宋体" w:hAnsi="宋体"/>
          <w:szCs w:val="21"/>
          <w:lang w:val="en-US" w:eastAsia="zh-CN"/>
        </w:rPr>
        <w:t>24</w:t>
      </w:r>
      <w:r>
        <w:rPr>
          <w:rFonts w:hint="eastAsia" w:ascii="宋体" w:hAnsi="宋体"/>
          <w:szCs w:val="21"/>
        </w:rPr>
        <w:t>日</w:t>
      </w:r>
      <w:r>
        <w:rPr>
          <w:rFonts w:ascii="宋体" w:hAnsi="宋体"/>
          <w:szCs w:val="21"/>
        </w:rPr>
        <w:t>下</w:t>
      </w:r>
      <w:r>
        <w:rPr>
          <w:rFonts w:hint="eastAsia" w:ascii="宋体" w:hAnsi="宋体"/>
          <w:szCs w:val="21"/>
        </w:rPr>
        <w:t>午，</w:t>
      </w:r>
      <w:r>
        <w:rPr>
          <w:rFonts w:hint="eastAsia" w:asciiTheme="minorEastAsia" w:hAnsiTheme="minorEastAsia"/>
          <w:b/>
          <w:color w:val="3E3E3E"/>
          <w:kern w:val="0"/>
          <w:szCs w:val="21"/>
        </w:rPr>
        <w:t>浙江省股权交易中心浙里融</w:t>
      </w:r>
      <w:r>
        <w:rPr>
          <w:rFonts w:hint="eastAsia" w:asciiTheme="minorEastAsia" w:hAnsiTheme="minorEastAsia"/>
          <w:color w:val="3E3E3E"/>
          <w:kern w:val="0"/>
          <w:szCs w:val="21"/>
        </w:rPr>
        <w:t>联合</w:t>
      </w:r>
      <w:r>
        <w:rPr>
          <w:rFonts w:hint="eastAsia" w:asciiTheme="minorEastAsia" w:hAnsiTheme="minorEastAsia"/>
          <w:b/>
          <w:bCs/>
          <w:color w:val="3E3E3E"/>
          <w:kern w:val="0"/>
          <w:szCs w:val="21"/>
          <w:lang w:eastAsia="zh-CN"/>
        </w:rPr>
        <w:t>阿里初橙会</w:t>
      </w:r>
      <w:r>
        <w:rPr>
          <w:rFonts w:hint="eastAsia" w:asciiTheme="minorEastAsia" w:hAnsiTheme="minorEastAsia"/>
          <w:color w:val="3E3E3E"/>
          <w:kern w:val="0"/>
          <w:szCs w:val="21"/>
        </w:rPr>
        <w:t>，</w:t>
      </w:r>
      <w:r>
        <w:rPr>
          <w:rFonts w:hint="eastAsia" w:asciiTheme="minorEastAsia" w:hAnsiTheme="minorEastAsia"/>
          <w:szCs w:val="21"/>
        </w:rPr>
        <w:t>在</w:t>
      </w:r>
      <w:r>
        <w:rPr>
          <w:rFonts w:hint="eastAsia" w:asciiTheme="minorEastAsia" w:hAnsiTheme="minorEastAsia"/>
          <w:szCs w:val="21"/>
          <w:lang w:eastAsia="zh-CN"/>
        </w:rPr>
        <w:t>未来科技城</w:t>
      </w:r>
      <w:r>
        <w:rPr>
          <w:rFonts w:hint="eastAsia" w:asciiTheme="minorEastAsia" w:hAnsiTheme="minorEastAsia"/>
          <w:szCs w:val="21"/>
        </w:rPr>
        <w:t>成功举办AI项目路演活动，</w:t>
      </w:r>
      <w:r>
        <w:rPr>
          <w:rFonts w:hint="eastAsia" w:asciiTheme="minorEastAsia" w:hAnsiTheme="minorEastAsia"/>
          <w:szCs w:val="21"/>
          <w:lang w:eastAsia="zh-CN"/>
        </w:rPr>
        <w:t>本次</w:t>
      </w:r>
      <w:r>
        <w:rPr>
          <w:rFonts w:hint="eastAsia" w:asciiTheme="minorEastAsia" w:hAnsiTheme="minorEastAsia"/>
          <w:szCs w:val="21"/>
        </w:rPr>
        <w:t>路演</w:t>
      </w:r>
      <w:r>
        <w:rPr>
          <w:rFonts w:hint="eastAsia" w:asciiTheme="minorEastAsia" w:hAnsiTheme="minorEastAsia"/>
          <w:szCs w:val="21"/>
          <w:lang w:eastAsia="zh-CN"/>
        </w:rPr>
        <w:t>诚</w:t>
      </w:r>
      <w:r>
        <w:rPr>
          <w:rFonts w:hint="eastAsia" w:asciiTheme="minorEastAsia" w:hAnsiTheme="minorEastAsia"/>
          <w:szCs w:val="21"/>
        </w:rPr>
        <w:t>邀</w:t>
      </w:r>
      <w:r>
        <w:rPr>
          <w:rFonts w:hint="eastAsia" w:asciiTheme="minorEastAsia" w:hAnsiTheme="minorEastAsia"/>
          <w:szCs w:val="21"/>
          <w:lang w:eastAsia="zh-CN"/>
        </w:rPr>
        <w:t>了</w:t>
      </w:r>
      <w:r>
        <w:rPr>
          <w:rFonts w:hint="eastAsia" w:asciiTheme="minorEastAsia" w:hAnsiTheme="minorEastAsia"/>
          <w:szCs w:val="21"/>
        </w:rPr>
        <w:t>7个</w:t>
      </w:r>
      <w:r>
        <w:rPr>
          <w:rFonts w:hint="eastAsia" w:asciiTheme="minorEastAsia" w:hAnsiTheme="minorEastAsia"/>
          <w:szCs w:val="21"/>
          <w:lang w:eastAsia="zh-CN"/>
        </w:rPr>
        <w:t>优质</w:t>
      </w:r>
      <w:r>
        <w:rPr>
          <w:rFonts w:hint="eastAsia" w:asciiTheme="minorEastAsia" w:hAnsiTheme="minorEastAsia"/>
          <w:szCs w:val="21"/>
        </w:rPr>
        <w:t>AI项目。</w:t>
      </w:r>
    </w:p>
    <w:p>
      <w:pPr>
        <w:widowControl/>
        <w:ind w:firstLine="420" w:firstLineChars="200"/>
        <w:rPr>
          <w:rFonts w:hint="eastAsia" w:asciiTheme="minorEastAsia" w:hAnsi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</w:rPr>
        <w:t>此次活动邀请达晨创投投资总监彭皓</w:t>
      </w:r>
      <w:r>
        <w:rPr>
          <w:rFonts w:hint="eastAsia" w:asciiTheme="minorEastAsia" w:hAnsiTheme="minorEastAsia"/>
          <w:szCs w:val="21"/>
          <w:lang w:eastAsia="zh-CN"/>
        </w:rPr>
        <w:t>先生</w:t>
      </w:r>
      <w:r>
        <w:rPr>
          <w:rFonts w:hint="eastAsia" w:asciiTheme="minorEastAsia" w:hAnsiTheme="minorEastAsia"/>
          <w:szCs w:val="21"/>
        </w:rPr>
        <w:t>和盈动资本投资经理方凯</w:t>
      </w:r>
      <w:r>
        <w:rPr>
          <w:rFonts w:hint="eastAsia" w:asciiTheme="minorEastAsia" w:hAnsiTheme="minorEastAsia"/>
          <w:szCs w:val="21"/>
          <w:lang w:eastAsia="zh-CN"/>
        </w:rPr>
        <w:t>女士</w:t>
      </w:r>
      <w:r>
        <w:rPr>
          <w:rFonts w:hint="eastAsia" w:asciiTheme="minorEastAsia" w:hAnsiTheme="minorEastAsia"/>
          <w:szCs w:val="21"/>
        </w:rPr>
        <w:t>为此次参加项目路演的参赛企业做专业的点评和指导。</w:t>
      </w:r>
      <w:r>
        <w:rPr>
          <w:rFonts w:asciiTheme="minorEastAsia" w:hAnsiTheme="minorEastAsia"/>
          <w:szCs w:val="21"/>
        </w:rPr>
        <w:t>路演</w:t>
      </w:r>
      <w:r>
        <w:rPr>
          <w:rFonts w:hint="eastAsia" w:asciiTheme="minorEastAsia" w:hAnsiTheme="minorEastAsia"/>
          <w:szCs w:val="21"/>
          <w:lang w:eastAsia="zh-CN"/>
        </w:rPr>
        <w:t>共</w:t>
      </w:r>
      <w:r>
        <w:rPr>
          <w:rFonts w:asciiTheme="minorEastAsia" w:hAnsiTheme="minorEastAsia"/>
          <w:szCs w:val="21"/>
        </w:rPr>
        <w:t>邀请了</w:t>
      </w:r>
      <w:r>
        <w:rPr>
          <w:rFonts w:hint="eastAsia" w:asciiTheme="minorEastAsia" w:hAnsiTheme="minorEastAsia"/>
          <w:szCs w:val="21"/>
        </w:rPr>
        <w:t>百裕资本</w:t>
      </w:r>
      <w:r>
        <w:rPr>
          <w:rFonts w:asciiTheme="minorEastAsia" w:hAnsiTheme="minorEastAsia"/>
          <w:szCs w:val="21"/>
        </w:rPr>
        <w:t>、</w:t>
      </w:r>
      <w:r>
        <w:rPr>
          <w:rFonts w:hint="eastAsia" w:asciiTheme="minorEastAsia" w:hAnsiTheme="minorEastAsia"/>
          <w:szCs w:val="21"/>
        </w:rPr>
        <w:t>皇达投资</w:t>
      </w:r>
      <w:r>
        <w:rPr>
          <w:rFonts w:asciiTheme="minorEastAsia" w:hAnsiTheme="minorEastAsia"/>
          <w:szCs w:val="21"/>
        </w:rPr>
        <w:t>、</w:t>
      </w:r>
      <w:r>
        <w:rPr>
          <w:rFonts w:hint="eastAsia" w:asciiTheme="minorEastAsia" w:hAnsiTheme="minorEastAsia"/>
          <w:szCs w:val="21"/>
        </w:rPr>
        <w:t>春泥资本</w:t>
      </w:r>
      <w:r>
        <w:rPr>
          <w:rFonts w:hint="eastAsia" w:asciiTheme="minorEastAsia" w:hAnsiTheme="minorEastAsia"/>
          <w:szCs w:val="21"/>
          <w:lang w:eastAsia="zh-CN"/>
        </w:rPr>
        <w:t>、盈动资本、同家资本、先文基金</w:t>
      </w:r>
      <w:r>
        <w:rPr>
          <w:rFonts w:asciiTheme="minorEastAsia" w:hAnsiTheme="minorEastAsia"/>
          <w:szCs w:val="21"/>
        </w:rPr>
        <w:t>等</w:t>
      </w:r>
      <w:r>
        <w:rPr>
          <w:rFonts w:hint="eastAsia" w:asciiTheme="minorEastAsia" w:hAnsiTheme="minorEastAsia"/>
          <w:szCs w:val="21"/>
          <w:lang w:val="en-US" w:eastAsia="zh-CN"/>
        </w:rPr>
        <w:t>40多家</w:t>
      </w:r>
      <w:r>
        <w:rPr>
          <w:rFonts w:asciiTheme="minorEastAsia" w:hAnsiTheme="minorEastAsia"/>
          <w:szCs w:val="21"/>
        </w:rPr>
        <w:t>投资机构参加</w:t>
      </w:r>
      <w:r>
        <w:rPr>
          <w:rFonts w:hint="eastAsia" w:asciiTheme="minorEastAsia" w:hAnsiTheme="minorEastAsia"/>
          <w:szCs w:val="21"/>
          <w:lang w:eastAsia="zh-CN"/>
        </w:rPr>
        <w:t>，此外，活动还特别邀请了十家企业进行现场观摩，并且与阿里初橙会进行对接和互动。本次路演的</w:t>
      </w:r>
      <w:r>
        <w:rPr>
          <w:rFonts w:asciiTheme="minorEastAsia" w:hAnsiTheme="minorEastAsia"/>
          <w:szCs w:val="21"/>
        </w:rPr>
        <w:t>项目</w:t>
      </w:r>
      <w:r>
        <w:rPr>
          <w:rFonts w:hint="eastAsia" w:asciiTheme="minorEastAsia" w:hAnsiTheme="minorEastAsia"/>
          <w:szCs w:val="21"/>
          <w:lang w:eastAsia="zh-CN"/>
        </w:rPr>
        <w:t>均</w:t>
      </w:r>
      <w:r>
        <w:rPr>
          <w:rFonts w:asciiTheme="minorEastAsia" w:hAnsiTheme="minorEastAsia"/>
          <w:szCs w:val="21"/>
        </w:rPr>
        <w:t>得到</w:t>
      </w:r>
      <w:r>
        <w:rPr>
          <w:rFonts w:hint="eastAsia" w:asciiTheme="minorEastAsia" w:hAnsiTheme="minorEastAsia"/>
          <w:szCs w:val="21"/>
          <w:lang w:eastAsia="zh-CN"/>
        </w:rPr>
        <w:t>了</w:t>
      </w:r>
      <w:r>
        <w:rPr>
          <w:rFonts w:asciiTheme="minorEastAsia" w:hAnsiTheme="minorEastAsia"/>
          <w:szCs w:val="21"/>
        </w:rPr>
        <w:t>广泛关注</w:t>
      </w:r>
      <w:r>
        <w:rPr>
          <w:rFonts w:hint="eastAsia" w:asciiTheme="minorEastAsia" w:hAnsiTheme="minorEastAsia"/>
          <w:szCs w:val="21"/>
          <w:lang w:eastAsia="zh-CN"/>
        </w:rPr>
        <w:t>！</w:t>
      </w:r>
    </w:p>
    <w:p>
      <w:pPr>
        <w:widowControl/>
        <w:rPr>
          <w:rFonts w:hint="eastAsia" w:asciiTheme="minorEastAsia" w:hAnsiTheme="minorEastAsia"/>
          <w:szCs w:val="21"/>
          <w:lang w:eastAsia="zh-CN"/>
        </w:rPr>
      </w:pPr>
    </w:p>
    <w:p>
      <w:pPr>
        <w:widowControl/>
        <w:rPr>
          <w:rFonts w:ascii="Times New Roman" w:hAnsi="Times New Roman" w:eastAsia="微软雅黑" w:cs="Times New Roman"/>
          <w:color w:val="3E3E3E"/>
          <w:kern w:val="0"/>
          <w:sz w:val="24"/>
        </w:rPr>
      </w:pPr>
      <w:r>
        <w:rPr>
          <w:rFonts w:hint="eastAsia" w:ascii="Times New Roman" w:hAnsi="Times New Roman" w:eastAsia="微软雅黑" w:cs="Times New Roman"/>
          <w:color w:val="3E3E3E"/>
          <w:kern w:val="0"/>
          <w:sz w:val="24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15" name="图片 15" descr="微信图片_2019072509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1907250922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cs="Times New Roman" w:asciiTheme="minorEastAsia" w:hAnsiTheme="minorEastAsia"/>
          <w:color w:val="3E3E3E"/>
          <w:kern w:val="0"/>
          <w:szCs w:val="21"/>
        </w:rPr>
      </w:pPr>
    </w:p>
    <w:p>
      <w:pPr>
        <w:jc w:val="center"/>
        <w:rPr>
          <w:rFonts w:hint="eastAsia"/>
        </w:rPr>
      </w:pPr>
      <w:r>
        <w:rPr>
          <w:rFonts w:hint="eastAsia" w:asciiTheme="minorEastAsia" w:hAnsiTheme="minorEastAsia"/>
          <w:szCs w:val="21"/>
        </w:rPr>
        <w:t>达晨创投投资总监彭</w:t>
      </w:r>
      <w:r>
        <w:rPr>
          <w:rFonts w:hint="eastAsia" w:asciiTheme="minorEastAsia" w:hAnsiTheme="minorEastAsia"/>
          <w:szCs w:val="21"/>
          <w:lang w:eastAsia="zh-CN"/>
        </w:rPr>
        <w:t>总</w:t>
      </w:r>
      <w:r>
        <w:rPr>
          <w:rFonts w:hint="eastAsia"/>
        </w:rPr>
        <w:t>为项目方做点评</w:t>
      </w:r>
    </w:p>
    <w:p>
      <w:pPr>
        <w:jc w:val="center"/>
        <w:rPr>
          <w:rFonts w:hint="eastAsia"/>
        </w:rPr>
      </w:pPr>
    </w:p>
    <w:p>
      <w:pPr>
        <w:jc w:val="both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Theme="minorEastAsia" w:hAnsiTheme="minorEastAsia"/>
          <w:szCs w:val="21"/>
        </w:rPr>
        <w:t>盈动资本投资经理方</w:t>
      </w:r>
      <w:r>
        <w:rPr>
          <w:rFonts w:hint="eastAsia" w:asciiTheme="minorEastAsia" w:hAnsiTheme="minorEastAsia"/>
          <w:szCs w:val="21"/>
          <w:lang w:eastAsia="zh-CN"/>
        </w:rPr>
        <w:t>总</w:t>
      </w:r>
      <w:r>
        <w:rPr>
          <w:rFonts w:hint="eastAsia"/>
        </w:rPr>
        <w:t>与项目方进行深刻交流</w:t>
      </w:r>
    </w:p>
    <w:p>
      <w:pPr>
        <w:pStyle w:val="11"/>
        <w:spacing w:line="400" w:lineRule="exact"/>
        <w:ind w:firstLine="0" w:firstLineChars="0"/>
        <w:jc w:val="center"/>
        <w:outlineLvl w:val="0"/>
        <w:rPr>
          <w:rFonts w:hint="default" w:ascii="宋体" w:hAnsi="宋体"/>
          <w:b/>
          <w:szCs w:val="21"/>
        </w:rPr>
      </w:pPr>
      <w:r>
        <w:rPr>
          <w:rFonts w:ascii="宋体" w:hAnsi="宋体"/>
          <w:b/>
          <w:szCs w:val="21"/>
        </w:rPr>
        <w:t>项目信息回顾</w:t>
      </w:r>
    </w:p>
    <w:p>
      <w:pPr>
        <w:widowControl/>
        <w:numPr>
          <w:ilvl w:val="0"/>
          <w:numId w:val="1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t>杭州排列科技有限公司</w:t>
      </w:r>
    </w:p>
    <w:p>
      <w:pPr>
        <w:widowControl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4" name="图片 4" descr="2a830401a1fd5387f71322a979c8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a830401a1fd5387f71322a979c85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rPr>
          <w:rFonts w:hint="eastAsia"/>
        </w:rPr>
      </w:pPr>
      <w:r>
        <w:rPr>
          <w:rFonts w:hint="eastAsia"/>
        </w:rPr>
        <w:t>杭州排列科技有限公司成立于2016年6月，是一家专注于大数据风险控制与管理的互联网科技公司。公司融合金融大数据平台、智能模型服务、精准营销获客等产品，从成本、效率和准确性上帮助企业客户优化风险控制流程。现有的企业客户已经覆盖了消费金融、信贷、保险、银行等多个领域。经过长期的技术储备与业务实践，排列科技建立了十分完备的技术体系，能够通过多种技术架构来搭建大数据平台，并能熟练运用多种业务数据分析模型，总结出了数百种数据模型，基本涵盖了金融行业的大多数业务场景，可以为金融机构量身定制个性化的智慧解决方案。公司团队成员来自Google、Yahoo、Uber、Paypal、Lending Club等各大知名科技公司，均为互联网金融行业的权威专家，擅长于大数据、云计算、人工智能和机器学习等前沿技术，拥有世界领先的技术背景、行业经验和团队管理能力。公司总部设立在杭州，同时在美国硅谷和印尼等地设有研发分部及业务分部。作为中国数智风控专家，排列科技始终以“智慧赋能，诚通天下”为理念与宗旨，致力于成为金融行业优秀的技术供应商，为金融行业的智慧转型提供技术支持，将时代的前沿技术与金融的业务场景进行有机结合，拓展金融服务的边界与优化金融服务的体验。</w:t>
      </w:r>
    </w:p>
    <w:p>
      <w:pPr>
        <w:pStyle w:val="16"/>
        <w:ind w:left="0" w:leftChars="0" w:firstLine="0" w:firstLineChars="0"/>
        <w:rPr>
          <w:rFonts w:hint="eastAsia"/>
        </w:rPr>
      </w:pPr>
    </w:p>
    <w:p>
      <w:pPr>
        <w:pStyle w:val="16"/>
        <w:rPr>
          <w:rFonts w:hint="eastAsia"/>
        </w:rPr>
      </w:pPr>
    </w:p>
    <w:p>
      <w:pPr>
        <w:pStyle w:val="16"/>
        <w:ind w:left="0" w:leftChars="0" w:firstLine="0" w:firstLineChars="0"/>
        <w:rPr>
          <w:rFonts w:hint="eastAsia"/>
        </w:rPr>
      </w:pPr>
    </w:p>
    <w:p>
      <w:pPr>
        <w:pStyle w:val="16"/>
        <w:ind w:left="0" w:leftChars="0" w:firstLine="0" w:firstLineChars="0"/>
        <w:rPr>
          <w:rFonts w:hint="eastAsia"/>
        </w:rPr>
      </w:pPr>
    </w:p>
    <w:p>
      <w:pPr>
        <w:pStyle w:val="11"/>
        <w:numPr>
          <w:ilvl w:val="0"/>
          <w:numId w:val="1"/>
        </w:numPr>
        <w:ind w:left="0" w:leftChars="0" w:firstLine="0" w:firstLineChars="0"/>
        <w:outlineLvl w:val="0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t>杭州哇喔科技有限责任公司</w:t>
      </w:r>
    </w:p>
    <w:p>
      <w:pPr>
        <w:pStyle w:val="11"/>
        <w:widowControl w:val="0"/>
        <w:numPr>
          <w:ilvl w:val="0"/>
          <w:numId w:val="0"/>
        </w:numPr>
        <w:jc w:val="both"/>
        <w:outlineLvl w:val="0"/>
        <w:rPr>
          <w:rFonts w:hint="eastAsia" w:asciiTheme="minorEastAsia" w:hAnsiTheme="minorEastAsia" w:eastAsiaTheme="minorEastAsia" w:cstheme="minorEastAsia"/>
          <w:sz w:val="22"/>
          <w:szCs w:val="2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5" name="图片 5" descr="dbb551b88107955052ac7e7b72d1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bb551b88107955052ac7e7b72d1e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0" w:leftChars="0" w:firstLine="420" w:firstLineChars="200"/>
      </w:pPr>
      <w:r>
        <w:rPr>
          <w:rFonts w:hint="eastAsia"/>
        </w:rPr>
        <w:t>产品用途：智能饮料现调机；功能：一台现调机，可现调所有咖啡类、果汁类、奶茶类、中国茶、豆浆牛奶等植物饮料、可乐雪碧类的碳酸饮料以及含气水；市场定位：为用户提供高品质价格实惠的健康饮品；公司智能饮料现调机硬件产品、互联网、饮品原料配方及工艺技术，100%自研。目前已经申请专利达到27项，7月即将申请新专利约15项，其中发明专利占比为33%，其中已申请专利权项达330项。哇喔科技已经完成的产品，该现调机能够智能的现调市场上绝大多数的饮品制作，包含所有的咖啡类、果汁类、豆浆牛奶、碳酸饮料等饮品的出品，该智能饮料现调机产品量产度已经接近90%，即将于7-8月投入试点运营，9月量产并启动预售。目前股东自有资金够用，可衔接至公司硬件量产及市场销售的回款，如量产前的测试数据符合公司预期，我们有足够的信心和能力，通过市场销售完成的现金流满足公司第一阶段的发展需要，本轮计划融资800万元，用于备用。</w:t>
      </w: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</w:p>
    <w:p>
      <w:pPr>
        <w:numPr>
          <w:ilvl w:val="0"/>
          <w:numId w:val="1"/>
        </w:numPr>
        <w:spacing w:line="300" w:lineRule="auto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t>杭州新爵科技有限有限公司</w:t>
      </w:r>
    </w:p>
    <w:p>
      <w:pPr>
        <w:numPr>
          <w:ilvl w:val="0"/>
          <w:numId w:val="0"/>
        </w:numPr>
        <w:spacing w:line="300" w:lineRule="auto"/>
        <w:ind w:leftChars="0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3" name="图片 3" descr="29e34d022cf3cf845f6bf1c16be6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9e34d022cf3cf845f6bf1c16be61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firstLine="420" w:firstLineChars="200"/>
        <w:rPr>
          <w:rFonts w:hint="eastAsia"/>
        </w:rPr>
      </w:pPr>
      <w:r>
        <w:rPr>
          <w:rFonts w:hint="eastAsia"/>
        </w:rPr>
        <w:t>新爵科技致力于打造全球化的全场景的儿童游戏化素质教育平台。为B端学龄前亲子场景（室内儿童乐园、儿童新零售、幼儿园、早教中心）提供优质学前互动教育装备与游戏化教育内容，并在线下场景获得大量低成本精准流量，在线上提供C端教育游戏产品，并且为行业提供儿童与家长行为的大数据支撑。内容方面并已经与多个国际知名IP（海底小纵队、超级飞侠、小猪佩奇、猪猪侠、萌宝奇兵等）达成合作持续为用户提供优质内容。</w:t>
      </w:r>
    </w:p>
    <w:p>
      <w:pPr>
        <w:pStyle w:val="15"/>
        <w:ind w:firstLine="0" w:firstLineChars="0"/>
        <w:rPr>
          <w:rFonts w:hint="eastAsia"/>
        </w:rPr>
      </w:pPr>
      <w:r>
        <w:rPr>
          <w:rFonts w:hint="eastAsia"/>
        </w:rPr>
        <w:t>公司的优势有：渠道排他：获得30家头部大型全国连锁战略合作，25个大型渠道（优先排他），形成垄断优势，在东南亚快速建立连锁客户关系网络；高效内容与产品研发：自主研发的开发互动引擎极大的提高了内容制作效率2倍，有效降低研发成本，已实现100套教育游戏主题的制作；头部内容保护：以内容为核心竞争力，形成自主创作和一线头部IP及课程体系合作的双模式，长期行业资源低成本获得头部IP授权；数据积累构建：持续收集千万级儿童行为与测评数据，以及精准学龄前家长数据，长期沉淀价值利用， 为实现教育+AI做数据储备；.全球化落地能力： 三年积累，通过构建端到端流程与信息化工具保障，拥有全球落地的保障能力，能支持实现全球化快速扩张。公司于2017年10月完成近千万preA轮融资。截止2019年6月，新爵产品已经覆盖国内外2500+个亲子场所，覆盖全球25个国家，年均覆盖1500万儿童人次，海外业务同比增长300%。本轮融资1500万，主要用于东南亚市场拓展与产品研发。</w:t>
      </w:r>
    </w:p>
    <w:p>
      <w:pPr>
        <w:pStyle w:val="15"/>
        <w:ind w:firstLine="0" w:firstLineChars="0"/>
        <w:rPr>
          <w:rFonts w:hint="eastAsia"/>
        </w:rPr>
      </w:pPr>
    </w:p>
    <w:p>
      <w:pPr>
        <w:pStyle w:val="15"/>
        <w:ind w:firstLine="0" w:firstLineChars="0"/>
        <w:rPr>
          <w:rFonts w:hint="eastAsia"/>
        </w:rPr>
      </w:pPr>
    </w:p>
    <w:p>
      <w:pPr>
        <w:widowControl/>
        <w:numPr>
          <w:ilvl w:val="0"/>
          <w:numId w:val="1"/>
        </w:numPr>
        <w:spacing w:line="400" w:lineRule="exact"/>
        <w:ind w:left="0" w:leftChars="0" w:firstLine="0" w:firstLineChars="0"/>
        <w:jc w:val="left"/>
        <w:rPr>
          <w:rFonts w:hint="eastAsia" w:eastAsia="宋体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杭州妙妈健康管理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有限公司</w:t>
      </w:r>
    </w:p>
    <w:p>
      <w:pPr>
        <w:pStyle w:val="11"/>
        <w:spacing w:line="240" w:lineRule="auto"/>
        <w:ind w:left="0" w:leftChars="0" w:firstLine="0" w:firstLineChars="0"/>
        <w:outlineLvl w:val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13" name="图片 13" descr="买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买哦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400" w:lineRule="exact"/>
        <w:outlineLvl w:val="0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/>
        </w:rPr>
        <w:t>杭州妙妈健康管理有限公司成立于2014年11月份，致力于改变中国1亿家庭育儿习惯，通过全产业链的中医药服务实现孩子不生病少生病，健健康康成长的目标。目前主营家庭中医育儿课程、中医辅食喂养、小健康问题的食疗、推拿、艾灸等调理、中等健康问题的基层门诊诊疗服务、大健康问题的转诊服务，全程式儿童健康管理中医服务。目前主营的营收服务项有：中医育儿类课程、中医辅食食材、中医功能性食疗产品、中医育儿家用调理产品、中医馆门诊就诊服务、大型三甲医院的转诊服务。目前签约了10几位中医育儿行业ip，成立了和浙江中医药大学的校企合作企业联合研发中医育儿产品，并已成功开发出30几款产品，独立创办的专注妇幼健康诊疗的妙回春堂中医馆品牌已开设5个点，并获得清华长三角研究院旗下投资机构华园科创的投资认可。拥有商标3个，计算机软件专利7个。成为浙江省科技型中小企业及杭州市雏鹰计划企业。运营上，妙妈健康采用集团化运作模式，每个核心板块独立成立一家公司，由核心母公司股东直接管理，分为课程子公司、产品及供应链子公司、市场营销子公司和连锁中医馆运营子公司。总资产1600万，年营收2000万，用户总覆盖量30万+，消费及会会员用户2万+。本轮融资主要用于三个板块：1.50%用于市场营销，目前公司已经商业模式成熟，需要加快市场占有率，实现行业代名词；2.35%产品研发及供应链提升，目前公司的业务增长迅速，供应链已经接近满负荷，需要进行提升；3.15%团队搭建，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需要增加核心高管层进行产业提升落地执行，以应对更大的市场爆发。</w:t>
      </w:r>
    </w:p>
    <w:p>
      <w:pPr>
        <w:pStyle w:val="11"/>
        <w:spacing w:line="400" w:lineRule="exact"/>
        <w:ind w:firstLine="440" w:firstLineChars="200"/>
        <w:outlineLvl w:val="0"/>
        <w:rPr>
          <w:rFonts w:hint="default" w:asciiTheme="minorEastAsia" w:hAnsiTheme="minorEastAsia" w:eastAsiaTheme="minorEastAsia" w:cstheme="minorEastAsia"/>
          <w:sz w:val="22"/>
          <w:szCs w:val="22"/>
          <w:lang w:val="en-US" w:eastAsia="zh-CN"/>
        </w:rPr>
      </w:pPr>
    </w:p>
    <w:p>
      <w:pPr>
        <w:pStyle w:val="11"/>
        <w:spacing w:line="400" w:lineRule="exact"/>
        <w:ind w:firstLine="440" w:firstLineChars="200"/>
        <w:outlineLvl w:val="0"/>
        <w:rPr>
          <w:rFonts w:hint="default" w:asciiTheme="minorEastAsia" w:hAnsiTheme="minorEastAsia" w:eastAsiaTheme="minorEastAsia" w:cstheme="minorEastAsia"/>
          <w:sz w:val="22"/>
          <w:szCs w:val="22"/>
          <w:lang w:val="en-US" w:eastAsia="zh-CN"/>
        </w:rPr>
      </w:pPr>
    </w:p>
    <w:p>
      <w:pPr>
        <w:widowControl/>
        <w:numPr>
          <w:ilvl w:val="0"/>
          <w:numId w:val="1"/>
        </w:numPr>
        <w:spacing w:line="400" w:lineRule="exact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t>杭州蓝芯科技有限公司</w:t>
      </w:r>
    </w:p>
    <w:p>
      <w:pPr>
        <w:widowControl/>
        <w:numPr>
          <w:ilvl w:val="0"/>
          <w:numId w:val="0"/>
        </w:numPr>
        <w:spacing w:line="240" w:lineRule="auto"/>
        <w:ind w:leftChars="0"/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18" name="图片 18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t>公司2016年9月开始运营，总部杭州，现有员工74人，其中博士4人，硕士13人。团队有创业经历，人才齐备，综合能力强。创始人为中科院自动化所模式识别与人工智能专业博士。曾在知名外企从事研发。国内第一批安防计算机视觉创业公司核心成员（7年）。获公安部科技进步二等奖。杭州未来科技城海创园首批评审入园项目，杭州市高新技术企业，杭州、余杭政府产业基金重点支持项目。公司现已申请专利32项，其中发明专利16项，已获得软件著作权7项。蓝芯科技致力于赋予移动机器人深度视觉感知能力。为高端制造业和电商仓储提供具备视觉感知能力的物流机器人，及深度视觉系统的产品和服务。其基于自主知识产权的深度视觉系统，实现了工业级智能移动机器人的环境感知、自动导航和精准操作的功能。解决了目前大多数机器人不能在复杂环境下从事复杂劳动的问题。目前已有3大产品系列：视觉导航搬运机器人、移动拣货机器人、悟空固定抓取视觉系统。目标市场规模巨大，核心技术可扩展性强。2018年底，试销订单超过100万元。2019年，至7月底累积签单1000万左右。覆盖多家智能制造行业头部大客户。潜在订单超过4000万。预计2019年全年销售不低于2300万。本轮融资主要用于人才引进，市场推广和供应链建设。</w:t>
      </w:r>
    </w:p>
    <w:p>
      <w:pPr>
        <w:spacing w:line="300" w:lineRule="auto"/>
        <w:ind w:firstLine="440" w:firstLineChars="200"/>
        <w:rPr>
          <w:rFonts w:hint="eastAsia" w:asciiTheme="minorEastAsia" w:hAnsiTheme="minorEastAsia" w:eastAsiaTheme="minorEastAsia" w:cstheme="minorEastAsia"/>
          <w:sz w:val="22"/>
          <w:szCs w:val="22"/>
        </w:rPr>
      </w:pPr>
    </w:p>
    <w:p>
      <w:pPr>
        <w:spacing w:line="300" w:lineRule="auto"/>
        <w:ind w:firstLine="440" w:firstLineChars="200"/>
        <w:rPr>
          <w:rFonts w:hint="eastAsia" w:asciiTheme="minorEastAsia" w:hAnsiTheme="minorEastAsia" w:eastAsiaTheme="minorEastAsia" w:cstheme="minorEastAsia"/>
          <w:sz w:val="22"/>
          <w:szCs w:val="22"/>
        </w:rPr>
      </w:pPr>
    </w:p>
    <w:p>
      <w:pPr>
        <w:spacing w:line="300" w:lineRule="auto"/>
        <w:ind w:firstLine="440" w:firstLineChars="200"/>
        <w:rPr>
          <w:rFonts w:hint="eastAsia" w:asciiTheme="minorEastAsia" w:hAnsiTheme="minorEastAsia" w:eastAsiaTheme="minorEastAsia" w:cstheme="minorEastAsia"/>
          <w:sz w:val="22"/>
          <w:szCs w:val="22"/>
        </w:rPr>
      </w:pPr>
    </w:p>
    <w:p>
      <w:pPr>
        <w:spacing w:line="300" w:lineRule="auto"/>
        <w:ind w:firstLine="440" w:firstLineChars="200"/>
        <w:rPr>
          <w:rFonts w:hint="eastAsia" w:asciiTheme="minorEastAsia" w:hAnsiTheme="minorEastAsia" w:eastAsiaTheme="minorEastAsia" w:cstheme="minorEastAsia"/>
          <w:sz w:val="22"/>
          <w:szCs w:val="22"/>
        </w:rPr>
      </w:pPr>
    </w:p>
    <w:p>
      <w:pPr>
        <w:spacing w:line="300" w:lineRule="auto"/>
        <w:ind w:firstLine="440" w:firstLineChars="200"/>
        <w:rPr>
          <w:rFonts w:hint="eastAsia" w:asciiTheme="minorEastAsia" w:hAnsiTheme="minorEastAsia" w:eastAsiaTheme="minorEastAsia" w:cstheme="minorEastAsia"/>
          <w:sz w:val="22"/>
          <w:szCs w:val="22"/>
        </w:rPr>
      </w:pPr>
    </w:p>
    <w:p>
      <w:pPr>
        <w:spacing w:line="300" w:lineRule="auto"/>
        <w:rPr>
          <w:rFonts w:hint="eastAsia" w:asciiTheme="minorEastAsia" w:hAnsiTheme="minorEastAsia" w:eastAsiaTheme="minorEastAsia" w:cstheme="minorEastAsia"/>
          <w:sz w:val="22"/>
          <w:szCs w:val="22"/>
        </w:rPr>
      </w:pPr>
    </w:p>
    <w:p>
      <w:pPr>
        <w:spacing w:line="300" w:lineRule="auto"/>
        <w:rPr>
          <w:rFonts w:hint="eastAsia" w:asciiTheme="minorEastAsia" w:hAnsiTheme="minorEastAsia" w:eastAsiaTheme="minorEastAsia" w:cstheme="minorEastAsia"/>
          <w:sz w:val="22"/>
          <w:szCs w:val="22"/>
        </w:rPr>
      </w:pPr>
    </w:p>
    <w:p>
      <w:pPr>
        <w:widowControl/>
        <w:numPr>
          <w:ilvl w:val="0"/>
          <w:numId w:val="0"/>
        </w:numPr>
        <w:spacing w:line="400" w:lineRule="exact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浙江方图链科技有限公司</w:t>
      </w:r>
    </w:p>
    <w:p>
      <w:pPr>
        <w:pStyle w:val="11"/>
        <w:ind w:firstLine="0" w:firstLineChars="0"/>
        <w:outlineLvl w:val="0"/>
        <w:rPr>
          <w:rFonts w:hint="eastAsia" w:ascii="宋体" w:eastAsia="宋体"/>
          <w:lang w:val="en-US" w:eastAsia="zh-CN"/>
        </w:rPr>
      </w:pPr>
      <w:r>
        <w:rPr>
          <w:rFonts w:hint="eastAsia" w:ascii="宋体"/>
          <w:lang w:val="en-US" w:eastAsia="zh-CN"/>
        </w:rPr>
        <w:t xml:space="preserve">     </w:t>
      </w:r>
      <w:r>
        <w:rPr>
          <w:rFonts w:hint="eastAsia" w:ascii="宋体" w:eastAsia="宋体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6" name="图片 6" descr="1f27e381b9da6175016ac3405969a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f27e381b9da6175016ac3405969a2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hint="eastAsia" w:asciiTheme="minorEastAsia" w:hAnsiTheme="minorEastAsia" w:eastAsiaTheme="minorEastAsia" w:cstheme="minorEastAsia"/>
          <w:sz w:val="22"/>
          <w:szCs w:val="22"/>
          <w:lang w:eastAsia="zh-CN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2"/>
          <w:szCs w:val="22"/>
        </w:rPr>
        <w:t>方图致力于成为区块链与加密资产金融领域的恒生电子，目前产品线覆盖了以数字货币、链上加密资产（数字版权、数字保单等）为标的物的全场景交易系统，包括现货、期货、期权、掉期、法币OTC、资产管理等交易系统，主要客户群为海外的各类交易所与钱包，主要利润来源包括系统服务费、手续费分成与金融服务费（做市、套利交易、期权定价、资产管理等）。项目亮点：团队：赛道内顶尖水平，毕业于耶鲁大学、芝加哥大学、中科大少年班，就职于华尔街高盛、瑞信、芝加哥期权清算所、中国金融期货交易所等顶级金融机构，团队经验涵盖交易、策略、风控、定价、清洁算等核心环节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财务：2019年二季度转型to B商业模式后，当季营收超1500万，净利润超1000万，核心产品、商业模式与渠道策略基本得到验证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概念：数字货币与链上加密资产是未来开放式金融的核心入口，目前主做C端市场的数字货币现货交易所Binance年利润约8亿美金，数字货币合约交易所BitMex年利润约15亿美金，市场空间巨大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融资：融资用途一是降低系统接入费用门槛，迅速增加券商数量，抢占市场；二是全球搭建BD与代理网络，拓展全球市场；三是技术团队扩建，加速产品研发与迭代进度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风险：系统服务商的业务定位+海外交易所为主的客群定位+数字货币以外的业务场景拓展，三点结合，能较好地规避当前政策风险。</w:t>
      </w:r>
    </w:p>
    <w:p>
      <w:pPr>
        <w:pStyle w:val="11"/>
        <w:spacing w:line="400" w:lineRule="exact"/>
        <w:ind w:firstLine="0" w:firstLineChars="0"/>
        <w:outlineLvl w:val="0"/>
        <w:rPr>
          <w:rFonts w:hint="default" w:ascii="宋体"/>
        </w:rPr>
      </w:pPr>
    </w:p>
    <w:p>
      <w:pPr>
        <w:pStyle w:val="11"/>
        <w:spacing w:line="400" w:lineRule="exact"/>
        <w:ind w:firstLine="0" w:firstLineChars="0"/>
        <w:outlineLvl w:val="0"/>
        <w:rPr>
          <w:rFonts w:hint="default" w:ascii="宋体"/>
        </w:rPr>
      </w:pPr>
    </w:p>
    <w:p>
      <w:pPr>
        <w:pStyle w:val="11"/>
        <w:spacing w:line="400" w:lineRule="exact"/>
        <w:ind w:firstLine="0" w:firstLineChars="0"/>
        <w:outlineLvl w:val="0"/>
        <w:rPr>
          <w:rFonts w:hint="default" w:ascii="宋体"/>
        </w:rPr>
      </w:pPr>
    </w:p>
    <w:p>
      <w:pPr>
        <w:pStyle w:val="11"/>
        <w:spacing w:line="400" w:lineRule="exact"/>
        <w:ind w:firstLine="0" w:firstLineChars="0"/>
        <w:outlineLvl w:val="0"/>
        <w:rPr>
          <w:rFonts w:hint="default" w:ascii="宋体"/>
        </w:rPr>
      </w:pPr>
    </w:p>
    <w:p>
      <w:pPr>
        <w:pStyle w:val="11"/>
        <w:spacing w:line="400" w:lineRule="exact"/>
        <w:ind w:firstLine="0" w:firstLineChars="0"/>
        <w:outlineLvl w:val="0"/>
        <w:rPr>
          <w:rFonts w:hint="default" w:ascii="宋体"/>
        </w:rPr>
      </w:pPr>
    </w:p>
    <w:p>
      <w:pPr>
        <w:pStyle w:val="11"/>
        <w:numPr>
          <w:ilvl w:val="0"/>
          <w:numId w:val="2"/>
        </w:numPr>
        <w:spacing w:line="400" w:lineRule="exact"/>
        <w:ind w:left="0" w:leftChars="0" w:firstLine="0" w:firstLineChars="0"/>
        <w:outlineLvl w:val="0"/>
        <w:rPr>
          <w:rFonts w:hint="eastAsia" w:eastAsia="宋体"/>
          <w:szCs w:val="21"/>
          <w:lang w:val="en-US" w:eastAsia="zh-CN"/>
        </w:rPr>
      </w:pPr>
      <w:r>
        <w:rPr>
          <w:rFonts w:hint="eastAsia"/>
          <w:szCs w:val="21"/>
        </w:rPr>
        <w:t>苏州泽它网络科技有限公司</w:t>
      </w:r>
      <w:r>
        <w:rPr>
          <w:rFonts w:hint="eastAsia"/>
          <w:szCs w:val="21"/>
          <w:lang w:val="en-US" w:eastAsia="zh-CN"/>
        </w:rPr>
        <w:t xml:space="preserve">   </w:t>
      </w:r>
    </w:p>
    <w:p>
      <w:pPr>
        <w:pStyle w:val="11"/>
        <w:ind w:firstLine="0" w:firstLineChars="0"/>
        <w:outlineLvl w:val="0"/>
        <w:rPr>
          <w:rFonts w:hint="eastAsia" w:ascii="宋体" w:eastAsia="宋体"/>
          <w:lang w:eastAsia="zh-CN"/>
        </w:rPr>
      </w:pPr>
      <w:r>
        <w:rPr>
          <w:rFonts w:hint="eastAsia" w:ascii="宋体" w:eastAsia="宋体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8" name="图片 8" descr="4e1bc0ab51f4399769bb8f70c54c2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e1bc0ab51f4399769bb8f70c54c27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ind w:left="0" w:leftChars="0" w:firstLine="418" w:firstLineChars="190"/>
        <w:rPr>
          <w:rFonts w:ascii="Times New Roman" w:hAnsi="Times New Roman"/>
          <w:sz w:val="22"/>
          <w:szCs w:val="22"/>
        </w:rPr>
      </w:pPr>
      <w:r>
        <w:rPr>
          <w:rFonts w:hint="eastAsia" w:ascii="Times New Roman" w:hAnsi="Times New Roman"/>
          <w:sz w:val="22"/>
          <w:szCs w:val="22"/>
        </w:rPr>
        <w:t>公司成立于201</w:t>
      </w:r>
      <w:r>
        <w:rPr>
          <w:rFonts w:ascii="Times New Roman" w:hAnsi="Times New Roman"/>
          <w:sz w:val="22"/>
          <w:szCs w:val="22"/>
        </w:rPr>
        <w:t>4</w:t>
      </w:r>
      <w:r>
        <w:rPr>
          <w:rFonts w:hint="eastAsia" w:ascii="Times New Roman" w:hAnsi="Times New Roman"/>
          <w:sz w:val="22"/>
          <w:szCs w:val="22"/>
        </w:rPr>
        <w:t>年</w:t>
      </w:r>
      <w:r>
        <w:rPr>
          <w:rFonts w:ascii="Times New Roman" w:hAnsi="Times New Roman"/>
          <w:sz w:val="22"/>
          <w:szCs w:val="22"/>
        </w:rPr>
        <w:t>7</w:t>
      </w:r>
      <w:r>
        <w:rPr>
          <w:rFonts w:hint="eastAsia" w:ascii="Times New Roman" w:hAnsi="Times New Roman"/>
          <w:sz w:val="22"/>
          <w:szCs w:val="22"/>
        </w:rPr>
        <w:t>月，致力于工业物联网移动端开发，深耕于新风设备的智能化控制产品研发。公司提供三大产品（云、联网模块、移动控制端），产品搭配客户硬件产品快至1天即可智能化，另外，提供安装售后服务板块和数据运营平台等更多的增值服务系统。产品分为免费的公版移动控制端和具有品宣的专属移动端。目前产品</w:t>
      </w:r>
      <w:r>
        <w:rPr>
          <w:rFonts w:ascii="Times New Roman" w:hAnsi="Times New Roman"/>
          <w:sz w:val="22"/>
          <w:szCs w:val="22"/>
        </w:rPr>
        <w:t>1.0</w:t>
      </w:r>
      <w:r>
        <w:rPr>
          <w:rFonts w:hint="eastAsia" w:ascii="Times New Roman" w:hAnsi="Times New Roman"/>
          <w:sz w:val="22"/>
          <w:szCs w:val="22"/>
        </w:rPr>
        <w:t>版本共服务企业达2</w:t>
      </w:r>
      <w:r>
        <w:rPr>
          <w:rFonts w:ascii="Times New Roman" w:hAnsi="Times New Roman"/>
          <w:sz w:val="22"/>
          <w:szCs w:val="22"/>
        </w:rPr>
        <w:t>00+</w:t>
      </w:r>
      <w:r>
        <w:rPr>
          <w:rFonts w:hint="eastAsia" w:ascii="Times New Roman" w:hAnsi="Times New Roman"/>
          <w:sz w:val="22"/>
          <w:szCs w:val="22"/>
        </w:rPr>
        <w:t>，完成了预期的客服模型和产品定位方向的验证。产品正在2</w:t>
      </w:r>
      <w:r>
        <w:rPr>
          <w:rFonts w:ascii="Times New Roman" w:hAnsi="Times New Roman"/>
          <w:sz w:val="22"/>
          <w:szCs w:val="22"/>
        </w:rPr>
        <w:t>.0</w:t>
      </w:r>
      <w:r>
        <w:rPr>
          <w:rFonts w:hint="eastAsia" w:ascii="Times New Roman" w:hAnsi="Times New Roman"/>
          <w:sz w:val="22"/>
          <w:szCs w:val="22"/>
        </w:rPr>
        <w:t>版本的升级中，可实现快速的产品配网模式、高效的产品对接协议、行业多元化的服务结构（以新风智能化控制为主、拓展了空调智能化控制、采暖智能化控制、开关智能化控制）。本轮融资资金主要用于产品的生产和市场开拓。</w:t>
      </w:r>
    </w:p>
    <w:p>
      <w:pPr>
        <w:pStyle w:val="11"/>
        <w:spacing w:line="400" w:lineRule="exact"/>
        <w:ind w:firstLine="0" w:firstLineChars="0"/>
        <w:outlineLvl w:val="0"/>
        <w:rPr>
          <w:rFonts w:hint="default" w:ascii="Times New Roman" w:hAnsi="Times New Roman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4815205" cy="8853805"/>
            <wp:effectExtent l="0" t="0" r="10795" b="1079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0905F3"/>
    <w:multiLevelType w:val="singleLevel"/>
    <w:tmpl w:val="E00905F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11567A"/>
    <w:multiLevelType w:val="singleLevel"/>
    <w:tmpl w:val="1811567A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96B"/>
    <w:rsid w:val="000435CD"/>
    <w:rsid w:val="000547D6"/>
    <w:rsid w:val="00072672"/>
    <w:rsid w:val="000C7DFC"/>
    <w:rsid w:val="000D08B4"/>
    <w:rsid w:val="00147D5B"/>
    <w:rsid w:val="00157551"/>
    <w:rsid w:val="001904D3"/>
    <w:rsid w:val="00192EC4"/>
    <w:rsid w:val="001A00EE"/>
    <w:rsid w:val="001A1C82"/>
    <w:rsid w:val="001C2C94"/>
    <w:rsid w:val="001E389C"/>
    <w:rsid w:val="002428F0"/>
    <w:rsid w:val="0026060B"/>
    <w:rsid w:val="0026660E"/>
    <w:rsid w:val="002C249D"/>
    <w:rsid w:val="002D27E5"/>
    <w:rsid w:val="002D3D8A"/>
    <w:rsid w:val="00307C34"/>
    <w:rsid w:val="00353E0D"/>
    <w:rsid w:val="00374D67"/>
    <w:rsid w:val="00394AF8"/>
    <w:rsid w:val="0039784E"/>
    <w:rsid w:val="003A7F1A"/>
    <w:rsid w:val="003C023B"/>
    <w:rsid w:val="00427973"/>
    <w:rsid w:val="004279C1"/>
    <w:rsid w:val="00460134"/>
    <w:rsid w:val="00485645"/>
    <w:rsid w:val="0049430A"/>
    <w:rsid w:val="00494523"/>
    <w:rsid w:val="00495B72"/>
    <w:rsid w:val="004B0623"/>
    <w:rsid w:val="004C0698"/>
    <w:rsid w:val="004D59F1"/>
    <w:rsid w:val="004E7CE7"/>
    <w:rsid w:val="00505A92"/>
    <w:rsid w:val="00525215"/>
    <w:rsid w:val="00535803"/>
    <w:rsid w:val="00545E73"/>
    <w:rsid w:val="005575A3"/>
    <w:rsid w:val="00571D57"/>
    <w:rsid w:val="005B7922"/>
    <w:rsid w:val="005B7FBC"/>
    <w:rsid w:val="005D043E"/>
    <w:rsid w:val="006120D9"/>
    <w:rsid w:val="0061409F"/>
    <w:rsid w:val="00653370"/>
    <w:rsid w:val="0066085E"/>
    <w:rsid w:val="00662186"/>
    <w:rsid w:val="00662F67"/>
    <w:rsid w:val="00673A7D"/>
    <w:rsid w:val="00676A82"/>
    <w:rsid w:val="00720D02"/>
    <w:rsid w:val="00743E3F"/>
    <w:rsid w:val="00750E17"/>
    <w:rsid w:val="00761847"/>
    <w:rsid w:val="00767403"/>
    <w:rsid w:val="007761EE"/>
    <w:rsid w:val="007A2967"/>
    <w:rsid w:val="007E50BD"/>
    <w:rsid w:val="008047CD"/>
    <w:rsid w:val="00826947"/>
    <w:rsid w:val="00826970"/>
    <w:rsid w:val="00830E2E"/>
    <w:rsid w:val="00850C4A"/>
    <w:rsid w:val="0085221C"/>
    <w:rsid w:val="0086267D"/>
    <w:rsid w:val="008901A7"/>
    <w:rsid w:val="008B5BE3"/>
    <w:rsid w:val="008C71F1"/>
    <w:rsid w:val="008E5DE3"/>
    <w:rsid w:val="009003A6"/>
    <w:rsid w:val="00934566"/>
    <w:rsid w:val="00945337"/>
    <w:rsid w:val="0094581B"/>
    <w:rsid w:val="00945E78"/>
    <w:rsid w:val="00966DF5"/>
    <w:rsid w:val="009757E2"/>
    <w:rsid w:val="00984DAE"/>
    <w:rsid w:val="00987895"/>
    <w:rsid w:val="009D646D"/>
    <w:rsid w:val="009E786F"/>
    <w:rsid w:val="00A11223"/>
    <w:rsid w:val="00A31BC4"/>
    <w:rsid w:val="00A31C5A"/>
    <w:rsid w:val="00A35374"/>
    <w:rsid w:val="00A447FB"/>
    <w:rsid w:val="00A47A5D"/>
    <w:rsid w:val="00A721E9"/>
    <w:rsid w:val="00A76FD8"/>
    <w:rsid w:val="00AA5ED6"/>
    <w:rsid w:val="00AC0A86"/>
    <w:rsid w:val="00AD2CAB"/>
    <w:rsid w:val="00AD4746"/>
    <w:rsid w:val="00AF2EB7"/>
    <w:rsid w:val="00B2073A"/>
    <w:rsid w:val="00B37292"/>
    <w:rsid w:val="00B4096B"/>
    <w:rsid w:val="00B507BD"/>
    <w:rsid w:val="00B849A5"/>
    <w:rsid w:val="00B96180"/>
    <w:rsid w:val="00BB611F"/>
    <w:rsid w:val="00BC0844"/>
    <w:rsid w:val="00BC0E68"/>
    <w:rsid w:val="00BC4F6D"/>
    <w:rsid w:val="00BC587A"/>
    <w:rsid w:val="00BD572B"/>
    <w:rsid w:val="00BE46F4"/>
    <w:rsid w:val="00C0179E"/>
    <w:rsid w:val="00C20ADA"/>
    <w:rsid w:val="00C30245"/>
    <w:rsid w:val="00C35EB0"/>
    <w:rsid w:val="00C52E6F"/>
    <w:rsid w:val="00C555BC"/>
    <w:rsid w:val="00C6773E"/>
    <w:rsid w:val="00C83785"/>
    <w:rsid w:val="00C9234F"/>
    <w:rsid w:val="00CA4256"/>
    <w:rsid w:val="00CB76D7"/>
    <w:rsid w:val="00CC5DB4"/>
    <w:rsid w:val="00CF065B"/>
    <w:rsid w:val="00D4389F"/>
    <w:rsid w:val="00D5124B"/>
    <w:rsid w:val="00D8439A"/>
    <w:rsid w:val="00DA30AF"/>
    <w:rsid w:val="00DC5139"/>
    <w:rsid w:val="00DC6612"/>
    <w:rsid w:val="00DC7983"/>
    <w:rsid w:val="00DD35CD"/>
    <w:rsid w:val="00DD5B31"/>
    <w:rsid w:val="00DF2552"/>
    <w:rsid w:val="00E07282"/>
    <w:rsid w:val="00E122F4"/>
    <w:rsid w:val="00E441A6"/>
    <w:rsid w:val="00E56E2A"/>
    <w:rsid w:val="00E838B2"/>
    <w:rsid w:val="00E8749E"/>
    <w:rsid w:val="00EA7C58"/>
    <w:rsid w:val="00EC1584"/>
    <w:rsid w:val="00ED0A66"/>
    <w:rsid w:val="00ED2830"/>
    <w:rsid w:val="00EE2C81"/>
    <w:rsid w:val="00EE5432"/>
    <w:rsid w:val="00EE615E"/>
    <w:rsid w:val="00F36B23"/>
    <w:rsid w:val="00F36FC6"/>
    <w:rsid w:val="00F43A8D"/>
    <w:rsid w:val="00F758C7"/>
    <w:rsid w:val="00F77197"/>
    <w:rsid w:val="00F8414B"/>
    <w:rsid w:val="00FE06D5"/>
    <w:rsid w:val="00FE7157"/>
    <w:rsid w:val="04214BC3"/>
    <w:rsid w:val="06F96590"/>
    <w:rsid w:val="087979EA"/>
    <w:rsid w:val="12DA476E"/>
    <w:rsid w:val="1D9D7100"/>
    <w:rsid w:val="2E3271E5"/>
    <w:rsid w:val="387A6F31"/>
    <w:rsid w:val="3AAF04BD"/>
    <w:rsid w:val="3FFF54DB"/>
    <w:rsid w:val="57236976"/>
    <w:rsid w:val="5FD06A97"/>
    <w:rsid w:val="6275017D"/>
    <w:rsid w:val="6F73868F"/>
    <w:rsid w:val="7938791A"/>
    <w:rsid w:val="7BBB1E22"/>
    <w:rsid w:val="7DC46961"/>
    <w:rsid w:val="7EFAD92A"/>
    <w:rsid w:val="AF771685"/>
    <w:rsid w:val="DEFD9D27"/>
    <w:rsid w:val="EBE7CD1E"/>
    <w:rsid w:val="F56D99BB"/>
    <w:rsid w:val="FBFE82AF"/>
    <w:rsid w:val="FE4F4FBB"/>
    <w:rsid w:val="FE5EC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rPr>
      <w:sz w:val="24"/>
    </w:rPr>
  </w:style>
  <w:style w:type="paragraph" w:styleId="6">
    <w:name w:val="Title"/>
    <w:basedOn w:val="1"/>
    <w:next w:val="1"/>
    <w:link w:val="13"/>
    <w:qFormat/>
    <w:uiPriority w:val="0"/>
    <w:pPr>
      <w:ind w:firstLine="420"/>
    </w:pPr>
    <w:rPr>
      <w:rFonts w:ascii="Times New Roman" w:hAnsi="Times New Roman" w:eastAsia="宋体" w:cs="Times New Roman"/>
      <w:kern w:val="0"/>
      <w:szCs w:val="24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1">
    <w:name w:val="列出段落1"/>
    <w:basedOn w:val="1"/>
    <w:qFormat/>
    <w:uiPriority w:val="99"/>
    <w:pPr>
      <w:ind w:firstLine="420" w:firstLineChars="200"/>
    </w:pPr>
    <w:rPr>
      <w:rFonts w:hint="eastAsia" w:ascii="Calibri" w:hAnsi="Calibri" w:eastAsia="宋体" w:cs="Times New Roman"/>
    </w:rPr>
  </w:style>
  <w:style w:type="character" w:customStyle="1" w:styleId="12">
    <w:name w:val="标题 字符"/>
    <w:basedOn w:val="7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Char"/>
    <w:link w:val="6"/>
    <w:qFormat/>
    <w:uiPriority w:val="0"/>
    <w:rPr>
      <w:rFonts w:ascii="Times New Roman" w:hAnsi="Times New Roman" w:eastAsia="宋体" w:cs="Times New Roman"/>
      <w:kern w:val="0"/>
      <w:szCs w:val="24"/>
    </w:rPr>
  </w:style>
  <w:style w:type="character" w:customStyle="1" w:styleId="14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customStyle="1" w:styleId="15">
    <w:name w:val="6"/>
    <w:basedOn w:val="1"/>
    <w:qFormat/>
    <w:uiPriority w:val="0"/>
    <w:pPr>
      <w:widowControl/>
      <w:spacing w:line="400" w:lineRule="exact"/>
      <w:ind w:firstLine="420" w:firstLineChars="200"/>
      <w:jc w:val="left"/>
    </w:pPr>
    <w:rPr>
      <w:rFonts w:ascii="Times New Roman" w:hAnsi="Times New Roman"/>
    </w:rPr>
  </w:style>
  <w:style w:type="paragraph" w:customStyle="1" w:styleId="16">
    <w:name w:val="123123"/>
    <w:basedOn w:val="11"/>
    <w:qFormat/>
    <w:uiPriority w:val="0"/>
    <w:pPr>
      <w:spacing w:line="400" w:lineRule="exact"/>
      <w:outlineLvl w:val="0"/>
    </w:pPr>
    <w:rPr>
      <w:rFonts w:hint="default" w:ascii="Times New Roman" w:hAnsi="Times New Roman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8">
    <w:name w:val="666"/>
    <w:basedOn w:val="1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532</Words>
  <Characters>3034</Characters>
  <Lines>25</Lines>
  <Paragraphs>7</Paragraphs>
  <TotalTime>9</TotalTime>
  <ScaleCrop>false</ScaleCrop>
  <LinksUpToDate>false</LinksUpToDate>
  <CharactersWithSpaces>3559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2019-07-01T01:55:00Z</dcterms:created>
  <dc:creator>hzp</dc:creator>
  <cp:lastModifiedBy>13846648493</cp:lastModifiedBy>
  <dcterms:modified xsi:type="dcterms:W3CDTF">2019-07-25T06:39:04Z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