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63" w:rsidRPr="00216792" w:rsidRDefault="003130B7" w:rsidP="00216792">
      <w:pPr>
        <w:pStyle w:val="a"/>
        <w:numPr>
          <w:ilvl w:val="0"/>
          <w:numId w:val="0"/>
        </w:numPr>
        <w:ind w:left="360" w:hanging="360"/>
        <w:jc w:val="center"/>
        <w:rPr>
          <w:rFonts w:ascii="微软雅黑" w:eastAsia="微软雅黑" w:hAnsi="微软雅黑"/>
          <w:b/>
          <w:sz w:val="36"/>
          <w:szCs w:val="36"/>
          <w:lang w:eastAsia="zh-CN"/>
        </w:rPr>
      </w:pPr>
      <w:bookmarkStart w:id="0" w:name="_Toc142968300"/>
      <w:bookmarkStart w:id="1" w:name="_Toc282118171"/>
      <w:bookmarkStart w:id="2" w:name="_Toc282157392"/>
      <w:bookmarkStart w:id="3" w:name="_Toc282157908"/>
      <w:bookmarkStart w:id="4" w:name="_Toc282157995"/>
      <w:bookmarkStart w:id="5" w:name="_Toc282158048"/>
      <w:bookmarkStart w:id="6" w:name="_Toc282158302"/>
      <w:r>
        <w:rPr>
          <w:rFonts w:ascii="微软雅黑" w:eastAsia="微软雅黑" w:hAnsi="微软雅黑" w:hint="eastAsia"/>
          <w:b/>
          <w:sz w:val="36"/>
          <w:szCs w:val="36"/>
          <w:lang w:eastAsia="zh-CN"/>
        </w:rPr>
        <w:t>浙江外服国际教育培训中心简介</w:t>
      </w:r>
    </w:p>
    <w:bookmarkEnd w:id="0"/>
    <w:bookmarkEnd w:id="1"/>
    <w:bookmarkEnd w:id="2"/>
    <w:bookmarkEnd w:id="3"/>
    <w:bookmarkEnd w:id="4"/>
    <w:bookmarkEnd w:id="5"/>
    <w:bookmarkEnd w:id="6"/>
    <w:p w:rsidR="007D1692" w:rsidRDefault="00C473DE" w:rsidP="00390979">
      <w:pPr>
        <w:spacing w:before="120" w:line="276" w:lineRule="auto"/>
        <w:ind w:firstLineChars="250" w:firstLine="525"/>
        <w:rPr>
          <w:rFonts w:ascii="微软雅黑" w:eastAsia="微软雅黑" w:hAnsi="微软雅黑" w:cs="Arial" w:hint="eastAsia"/>
          <w:bCs/>
        </w:rPr>
      </w:pPr>
      <w:r w:rsidRPr="00C473DE">
        <w:rPr>
          <w:rFonts w:ascii="微软雅黑" w:eastAsia="微软雅黑" w:hAnsi="微软雅黑" w:cs="Arial" w:hint="eastAsia"/>
          <w:bCs/>
        </w:rPr>
        <w:t>浙江省对外服务公司隶属于浙江省人民政府外事侨务办公室，是浙江省内最具影响力的人力资源合作伙伴、浙江省服务业重点企业、浙江省大学生训练见习基地。浙江外服国际教育培训中心隶属于浙江省对外服务公司。是一家具有10年历史的民营培训学校，由浙江外服创办，专门从事培训教育工作。近10年来，服务3000余家中外客户，囊括金融、商贸、IT、影视媒体、制造、连锁、医护各领域。包括国内知名院校及中国移动通信、中国人寿保险、</w:t>
      </w:r>
      <w:r w:rsidR="005C03B7">
        <w:rPr>
          <w:rFonts w:ascii="微软雅黑" w:eastAsia="微软雅黑" w:hAnsi="微软雅黑" w:cs="Arial" w:hint="eastAsia"/>
          <w:bCs/>
        </w:rPr>
        <w:t>中国平安、</w:t>
      </w:r>
      <w:r w:rsidRPr="00C473DE">
        <w:rPr>
          <w:rFonts w:ascii="微软雅黑" w:eastAsia="微软雅黑" w:hAnsi="微软雅黑" w:cs="Arial" w:hint="eastAsia"/>
          <w:bCs/>
        </w:rPr>
        <w:t>中国石化、NOKIA、荷兰航空、阿里巴巴、网易、等知名企业。</w:t>
      </w:r>
    </w:p>
    <w:p w:rsidR="001C3163" w:rsidRPr="00C473DE" w:rsidRDefault="001C3163" w:rsidP="00C473DE">
      <w:pPr>
        <w:spacing w:before="120" w:line="276" w:lineRule="auto"/>
        <w:ind w:firstLineChars="200" w:firstLine="420"/>
        <w:rPr>
          <w:rFonts w:ascii="微软雅黑" w:eastAsia="微软雅黑" w:hAnsi="微软雅黑" w:cs="Arial"/>
          <w:bCs/>
        </w:rPr>
      </w:pPr>
      <w:r w:rsidRPr="001F3878">
        <w:rPr>
          <w:rFonts w:ascii="微软雅黑" w:eastAsia="微软雅黑" w:hAnsi="微软雅黑" w:cs="Arial"/>
          <w:bCs/>
        </w:rPr>
        <w:t>未来我们将以打造学习平台为目标，整合专业的趋势分析、技能提升、观念引导、思维创新，为企业提供跨组织的资源整合培训服务，形成更完整的知识价值链。提供企业更多元的培训选择，实现创造顾客价值的承诺，成为企业培训委外的最佳伙伴。</w:t>
      </w:r>
    </w:p>
    <w:p w:rsidR="001C3163" w:rsidRPr="001F3878" w:rsidRDefault="001C3163" w:rsidP="001C3163">
      <w:pPr>
        <w:spacing w:before="120" w:line="276" w:lineRule="auto"/>
        <w:ind w:firstLineChars="200" w:firstLine="420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3657600" cy="2755265"/>
            <wp:effectExtent l="19050" t="0" r="0" b="0"/>
            <wp:wrapNone/>
            <wp:docPr id="2" name="图片 2" descr="培训产业价值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培训产业价值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5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163" w:rsidRPr="001F3878" w:rsidRDefault="001C3163" w:rsidP="00C473DE">
      <w:pPr>
        <w:spacing w:before="120" w:afterLines="50" w:line="360" w:lineRule="auto"/>
        <w:jc w:val="right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经营理念</w:t>
      </w:r>
    </w:p>
    <w:p w:rsidR="001C3163" w:rsidRPr="001F3878" w:rsidRDefault="001C3163" w:rsidP="001C3163">
      <w:pPr>
        <w:spacing w:line="360" w:lineRule="auto"/>
        <w:jc w:val="righ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先进、创新、品质</w:t>
      </w:r>
    </w:p>
    <w:p w:rsidR="001C3163" w:rsidRPr="001F3878" w:rsidRDefault="001C3163" w:rsidP="001C3163">
      <w:pPr>
        <w:spacing w:line="360" w:lineRule="auto"/>
        <w:jc w:val="righ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实现顾客价值的承诺</w:t>
      </w:r>
    </w:p>
    <w:p w:rsidR="001C3163" w:rsidRPr="001F3878" w:rsidRDefault="001C3163" w:rsidP="00C473DE">
      <w:pPr>
        <w:spacing w:before="120" w:afterLines="50" w:line="360" w:lineRule="auto"/>
        <w:jc w:val="right"/>
        <w:rPr>
          <w:rFonts w:ascii="微软雅黑" w:eastAsia="微软雅黑" w:hAnsi="微软雅黑" w:cs="Arial"/>
          <w:b/>
          <w:bCs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13970</wp:posOffset>
            </wp:positionV>
            <wp:extent cx="695960" cy="208915"/>
            <wp:effectExtent l="0" t="209550" r="0" b="1911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706" t="10257" r="406" b="19444"/>
                    <a:stretch>
                      <a:fillRect/>
                    </a:stretch>
                  </pic:blipFill>
                  <pic:spPr bwMode="auto">
                    <a:xfrm rot="2519504">
                      <a:off x="0" y="0"/>
                      <a:ext cx="695960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3878">
        <w:rPr>
          <w:rFonts w:ascii="微软雅黑" w:eastAsia="微软雅黑" w:hAnsi="微软雅黑" w:cs="Arial"/>
          <w:b/>
          <w:bCs/>
        </w:rPr>
        <w:t>定位</w:t>
      </w:r>
    </w:p>
    <w:p w:rsidR="001C3163" w:rsidRPr="001F3878" w:rsidRDefault="001C3163" w:rsidP="001C3163">
      <w:pPr>
        <w:spacing w:line="360" w:lineRule="auto"/>
        <w:jc w:val="righ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专业的加值型知识物流体系</w:t>
      </w:r>
    </w:p>
    <w:p w:rsidR="001C3163" w:rsidRPr="001F3878" w:rsidRDefault="001C3163" w:rsidP="001C3163">
      <w:pPr>
        <w:spacing w:line="360" w:lineRule="auto"/>
        <w:jc w:val="righ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培训资源整合服务中心</w:t>
      </w:r>
    </w:p>
    <w:p w:rsidR="001C3163" w:rsidRPr="001F3878" w:rsidRDefault="001C3163" w:rsidP="00C473DE">
      <w:pPr>
        <w:spacing w:before="120" w:afterLines="50" w:line="360" w:lineRule="auto"/>
        <w:jc w:val="right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宗旨</w:t>
      </w:r>
    </w:p>
    <w:p w:rsidR="001C3163" w:rsidRPr="001F3878" w:rsidRDefault="001C3163" w:rsidP="001C3163">
      <w:pPr>
        <w:spacing w:line="360" w:lineRule="auto"/>
        <w:jc w:val="righ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整合资源、共享资源、传播知识、造福企业</w:t>
      </w:r>
    </w:p>
    <w:p w:rsidR="001C3163" w:rsidRPr="001F3878" w:rsidRDefault="001C3163" w:rsidP="00C473DE">
      <w:pPr>
        <w:spacing w:before="120" w:afterLines="50" w:line="360" w:lineRule="auto"/>
        <w:jc w:val="right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愿景</w:t>
      </w:r>
    </w:p>
    <w:p w:rsidR="001C3163" w:rsidRPr="001F3878" w:rsidRDefault="001C3163" w:rsidP="001C3163">
      <w:pPr>
        <w:spacing w:line="360" w:lineRule="auto"/>
        <w:jc w:val="righ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lastRenderedPageBreak/>
        <w:t>扮演知识产业价值链整合推手</w:t>
      </w:r>
    </w:p>
    <w:p w:rsidR="001C3163" w:rsidRPr="001F3878" w:rsidRDefault="001C3163" w:rsidP="001C3163">
      <w:pPr>
        <w:spacing w:line="360" w:lineRule="auto"/>
        <w:jc w:val="right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187325</wp:posOffset>
            </wp:positionV>
            <wp:extent cx="5539105" cy="1384300"/>
            <wp:effectExtent l="0" t="0" r="0" b="0"/>
            <wp:wrapNone/>
            <wp:docPr id="3" name="图片 3" descr="菱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菱形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3878">
        <w:rPr>
          <w:rFonts w:ascii="微软雅黑" w:eastAsia="微软雅黑" w:hAnsi="微软雅黑" w:cs="Arial"/>
        </w:rPr>
        <w:t>成为企业培训委外的最佳伙伴</w:t>
      </w:r>
    </w:p>
    <w:p w:rsidR="007D1692" w:rsidRDefault="007D1692" w:rsidP="001C3163">
      <w:pPr>
        <w:pStyle w:val="text-orange"/>
        <w:spacing w:before="0" w:beforeAutospacing="0" w:after="0" w:afterAutospacing="0"/>
        <w:outlineLvl w:val="1"/>
        <w:rPr>
          <w:rFonts w:ascii="微软雅黑" w:eastAsia="微软雅黑" w:hAnsi="微软雅黑" w:cs="Arial" w:hint="eastAsia"/>
        </w:rPr>
      </w:pPr>
      <w:bookmarkStart w:id="7" w:name="_Toc383175352"/>
      <w:bookmarkStart w:id="8" w:name="_Toc282118173"/>
      <w:bookmarkStart w:id="9" w:name="_Toc282157393"/>
      <w:bookmarkStart w:id="10" w:name="_Toc282157909"/>
      <w:bookmarkStart w:id="11" w:name="_Toc282157996"/>
      <w:bookmarkStart w:id="12" w:name="_Toc282158049"/>
      <w:bookmarkStart w:id="13" w:name="_Toc282158303"/>
    </w:p>
    <w:p w:rsidR="007D1692" w:rsidRDefault="007D1692" w:rsidP="001C3163">
      <w:pPr>
        <w:pStyle w:val="text-orange"/>
        <w:spacing w:before="0" w:beforeAutospacing="0" w:after="0" w:afterAutospacing="0"/>
        <w:outlineLvl w:val="1"/>
        <w:rPr>
          <w:rFonts w:ascii="微软雅黑" w:eastAsia="微软雅黑" w:hAnsi="微软雅黑" w:cs="Arial" w:hint="eastAsia"/>
        </w:rPr>
      </w:pPr>
    </w:p>
    <w:p w:rsidR="007D1692" w:rsidRDefault="007D1692" w:rsidP="001C3163">
      <w:pPr>
        <w:pStyle w:val="text-orange"/>
        <w:spacing w:before="0" w:beforeAutospacing="0" w:after="0" w:afterAutospacing="0"/>
        <w:outlineLvl w:val="1"/>
        <w:rPr>
          <w:rFonts w:ascii="微软雅黑" w:eastAsia="微软雅黑" w:hAnsi="微软雅黑" w:cs="Arial" w:hint="eastAsia"/>
        </w:rPr>
      </w:pPr>
    </w:p>
    <w:p w:rsidR="001C3163" w:rsidRPr="001F3878" w:rsidRDefault="001C3163" w:rsidP="001C3163">
      <w:pPr>
        <w:pStyle w:val="text-orange"/>
        <w:spacing w:before="0" w:beforeAutospacing="0" w:after="0" w:afterAutospacing="0"/>
        <w:outlineLvl w:val="1"/>
        <w:rPr>
          <w:rFonts w:ascii="微软雅黑" w:eastAsia="微软雅黑" w:hAnsi="微软雅黑" w:cs="Arial"/>
          <w:b/>
          <w:color w:val="333333"/>
          <w:kern w:val="2"/>
          <w:sz w:val="28"/>
          <w:szCs w:val="28"/>
        </w:rPr>
      </w:pPr>
      <w:r w:rsidRPr="001F3878">
        <w:rPr>
          <w:rFonts w:ascii="微软雅黑" w:eastAsia="微软雅黑" w:hAnsi="微软雅黑" w:cs="Arial"/>
          <w:b/>
          <w:color w:val="333333"/>
          <w:kern w:val="2"/>
          <w:sz w:val="28"/>
          <w:szCs w:val="28"/>
        </w:rPr>
        <w:t>我们的服务</w:t>
      </w:r>
      <w:bookmarkEnd w:id="7"/>
      <w:bookmarkEnd w:id="8"/>
      <w:bookmarkEnd w:id="9"/>
      <w:bookmarkEnd w:id="10"/>
      <w:bookmarkEnd w:id="11"/>
      <w:bookmarkEnd w:id="12"/>
      <w:bookmarkEnd w:id="13"/>
      <w:r w:rsidRPr="001F3878">
        <w:rPr>
          <w:rFonts w:ascii="微软雅黑" w:eastAsia="微软雅黑" w:hAnsi="微软雅黑" w:cs="Arial" w:hint="eastAsia"/>
          <w:b/>
          <w:color w:val="333333"/>
          <w:kern w:val="2"/>
          <w:sz w:val="28"/>
          <w:szCs w:val="28"/>
        </w:rPr>
        <w:t>：</w:t>
      </w:r>
    </w:p>
    <w:p w:rsidR="001C3163" w:rsidRPr="001F3878" w:rsidRDefault="001C3163" w:rsidP="00C473DE">
      <w:pPr>
        <w:pStyle w:val="a6"/>
        <w:spacing w:beforeLines="50" w:line="360" w:lineRule="auto"/>
        <w:jc w:val="both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公开课程服务</w:t>
      </w:r>
    </w:p>
    <w:p w:rsidR="001C3163" w:rsidRPr="001F3878" w:rsidRDefault="001C3163" w:rsidP="00C473DE">
      <w:pPr>
        <w:pStyle w:val="a6"/>
        <w:spacing w:beforeLines="50" w:line="276" w:lineRule="auto"/>
        <w:ind w:firstLineChars="200" w:firstLine="480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我们提供 14大类192个小类的主题公开课程。我们的公开课强调课程的实用性和有效性、讲师皆具有深厚的工作资历和丰富的产业经验。</w:t>
      </w:r>
    </w:p>
    <w:p w:rsidR="001C3163" w:rsidRPr="001F3878" w:rsidRDefault="001C3163" w:rsidP="00C473DE">
      <w:pPr>
        <w:pStyle w:val="a6"/>
        <w:spacing w:beforeLines="50" w:line="276" w:lineRule="auto"/>
        <w:ind w:firstLineChars="200" w:firstLine="480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在我们的公开课上，学员一方面能学习最具前瞻性的知识与实践性高的工具，一方面可以和其它企业的学员交流， 课后并能得到持续的培训发展建议咨询服务。</w:t>
      </w:r>
    </w:p>
    <w:p w:rsidR="001C3163" w:rsidRPr="001F3878" w:rsidRDefault="001C3163" w:rsidP="00C473DE">
      <w:pPr>
        <w:pStyle w:val="a6"/>
        <w:spacing w:beforeLines="50" w:line="360" w:lineRule="auto"/>
        <w:jc w:val="both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企业内训服务</w:t>
      </w:r>
    </w:p>
    <w:p w:rsidR="001C3163" w:rsidRPr="001F3878" w:rsidRDefault="001C3163" w:rsidP="001C3163">
      <w:pPr>
        <w:pStyle w:val="a6"/>
        <w:numPr>
          <w:ilvl w:val="0"/>
          <w:numId w:val="3"/>
        </w:numPr>
        <w:spacing w:line="276" w:lineRule="auto"/>
        <w:ind w:left="714" w:hanging="357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 xml:space="preserve">  培训规划        资源</w:t>
      </w:r>
      <w:r w:rsidRPr="001F3878">
        <w:rPr>
          <w:rFonts w:ascii="微软雅黑" w:eastAsia="微软雅黑" w:hAnsi="微软雅黑" w:cs="Arial" w:hint="eastAsia"/>
        </w:rPr>
        <w:t>部署</w:t>
      </w:r>
      <w:r w:rsidRPr="001F3878">
        <w:rPr>
          <w:rFonts w:ascii="微软雅黑" w:eastAsia="微软雅黑" w:hAnsi="微软雅黑" w:cs="Arial"/>
        </w:rPr>
        <w:t xml:space="preserve">       课程执行</w:t>
      </w:r>
    </w:p>
    <w:p w:rsidR="001C3163" w:rsidRPr="001F3878" w:rsidRDefault="001C3163" w:rsidP="001C3163">
      <w:pPr>
        <w:pStyle w:val="a6"/>
        <w:numPr>
          <w:ilvl w:val="0"/>
          <w:numId w:val="3"/>
        </w:numPr>
        <w:spacing w:line="276" w:lineRule="auto"/>
        <w:ind w:left="714" w:hanging="357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 xml:space="preserve">  成效评估        项目管理       服务管理</w:t>
      </w:r>
    </w:p>
    <w:p w:rsidR="001C3163" w:rsidRPr="001F3878" w:rsidRDefault="001C3163" w:rsidP="00C473DE">
      <w:pPr>
        <w:pStyle w:val="a6"/>
        <w:spacing w:beforeLines="50" w:line="360" w:lineRule="auto"/>
        <w:jc w:val="both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咨询顾问服务</w:t>
      </w:r>
    </w:p>
    <w:p w:rsidR="001C3163" w:rsidRPr="001F3878" w:rsidRDefault="001C3163" w:rsidP="001C3163">
      <w:pPr>
        <w:pStyle w:val="a6"/>
        <w:spacing w:line="276" w:lineRule="auto"/>
        <w:ind w:firstLineChars="200" w:firstLine="480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结合我们多位长期从事企业管理研究与实践的资深顾问，针对企业运作进行诊断，提供建议，并协助找出解决方法。</w:t>
      </w:r>
    </w:p>
    <w:p w:rsidR="001C3163" w:rsidRPr="001F3878" w:rsidRDefault="001C3163" w:rsidP="001C3163">
      <w:pPr>
        <w:pStyle w:val="a6"/>
        <w:spacing w:line="276" w:lineRule="auto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我们的咨询服务有以下的特点：</w:t>
      </w:r>
    </w:p>
    <w:p w:rsidR="001C3163" w:rsidRPr="001F3878" w:rsidRDefault="001C3163" w:rsidP="00C473DE">
      <w:pPr>
        <w:pStyle w:val="a6"/>
        <w:numPr>
          <w:ilvl w:val="0"/>
          <w:numId w:val="4"/>
        </w:numPr>
        <w:spacing w:beforeLines="50" w:line="276" w:lineRule="auto"/>
        <w:ind w:left="714" w:hanging="357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 xml:space="preserve">  </w:t>
      </w:r>
      <w:r w:rsidRPr="001F3878">
        <w:rPr>
          <w:rFonts w:ascii="微软雅黑" w:eastAsia="微软雅黑" w:hAnsi="微软雅黑" w:cs="Arial"/>
          <w:b/>
          <w:bCs/>
        </w:rPr>
        <w:t>针对性</w:t>
      </w:r>
      <w:r w:rsidRPr="001F3878">
        <w:rPr>
          <w:rFonts w:ascii="微软雅黑" w:eastAsia="微软雅黑" w:hAnsi="微软雅黑" w:cs="Arial"/>
        </w:rPr>
        <w:t>—— 每个方案都是建立在对贵公司深入调研的基础上量身定做的。</w:t>
      </w:r>
    </w:p>
    <w:p w:rsidR="001C3163" w:rsidRPr="001F3878" w:rsidRDefault="001C3163" w:rsidP="001C3163">
      <w:pPr>
        <w:pStyle w:val="a6"/>
        <w:numPr>
          <w:ilvl w:val="0"/>
          <w:numId w:val="4"/>
        </w:numPr>
        <w:spacing w:line="276" w:lineRule="auto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lastRenderedPageBreak/>
        <w:t xml:space="preserve">  </w:t>
      </w:r>
      <w:r w:rsidRPr="001F3878">
        <w:rPr>
          <w:rFonts w:ascii="微软雅黑" w:eastAsia="微软雅黑" w:hAnsi="微软雅黑" w:cs="Arial"/>
          <w:b/>
          <w:bCs/>
        </w:rPr>
        <w:t>实用性</w:t>
      </w:r>
      <w:r w:rsidRPr="001F3878">
        <w:rPr>
          <w:rFonts w:ascii="微软雅黑" w:eastAsia="微软雅黑" w:hAnsi="微软雅黑" w:cs="Arial"/>
        </w:rPr>
        <w:t>—— 我们不仅注重方案的科学性，而且注重方案切实可行并产生实际效果。</w:t>
      </w:r>
    </w:p>
    <w:p w:rsidR="001C3163" w:rsidRPr="001F3878" w:rsidRDefault="001C3163" w:rsidP="001C3163">
      <w:pPr>
        <w:pStyle w:val="a6"/>
        <w:numPr>
          <w:ilvl w:val="0"/>
          <w:numId w:val="4"/>
        </w:numPr>
        <w:spacing w:line="276" w:lineRule="auto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 xml:space="preserve">  </w:t>
      </w:r>
      <w:r w:rsidRPr="001F3878">
        <w:rPr>
          <w:rFonts w:ascii="微软雅黑" w:eastAsia="微软雅黑" w:hAnsi="微软雅黑" w:cs="Arial"/>
          <w:b/>
          <w:bCs/>
        </w:rPr>
        <w:t>长久性</w:t>
      </w:r>
      <w:r w:rsidRPr="001F3878">
        <w:rPr>
          <w:rFonts w:ascii="微软雅黑" w:eastAsia="微软雅黑" w:hAnsi="微软雅黑" w:cs="Arial"/>
        </w:rPr>
        <w:t>—— 帮助企业在咨询过程中学会管理，为客户创造长期价值。</w:t>
      </w:r>
    </w:p>
    <w:p w:rsidR="001C3163" w:rsidRPr="001F3878" w:rsidRDefault="001C3163" w:rsidP="001C3163">
      <w:pPr>
        <w:pStyle w:val="a6"/>
        <w:numPr>
          <w:ilvl w:val="0"/>
          <w:numId w:val="4"/>
        </w:numPr>
        <w:spacing w:line="276" w:lineRule="auto"/>
        <w:jc w:val="both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 xml:space="preserve">  </w:t>
      </w:r>
      <w:r w:rsidRPr="001F3878">
        <w:rPr>
          <w:rFonts w:ascii="微软雅黑" w:eastAsia="微软雅黑" w:hAnsi="微软雅黑" w:cs="Arial"/>
          <w:b/>
          <w:bCs/>
        </w:rPr>
        <w:t>负责性</w:t>
      </w:r>
      <w:r w:rsidRPr="001F3878">
        <w:rPr>
          <w:rFonts w:ascii="微软雅黑" w:eastAsia="微软雅黑" w:hAnsi="微软雅黑" w:cs="Arial"/>
        </w:rPr>
        <w:t>—— 对客户高度负责，不承接没有能力做好的咨询项目</w:t>
      </w:r>
    </w:p>
    <w:p w:rsidR="001C3163" w:rsidRPr="001F3878" w:rsidRDefault="001C3163" w:rsidP="001C3163">
      <w:pPr>
        <w:spacing w:line="276" w:lineRule="auto"/>
        <w:rPr>
          <w:rFonts w:ascii="微软雅黑" w:eastAsia="微软雅黑" w:hAnsi="微软雅黑" w:cs="Arial"/>
          <w:b/>
          <w:bCs/>
        </w:rPr>
      </w:pPr>
    </w:p>
    <w:p w:rsidR="001C3163" w:rsidRPr="001F3878" w:rsidRDefault="001C3163" w:rsidP="00C473DE">
      <w:pPr>
        <w:pStyle w:val="a6"/>
        <w:spacing w:beforeLines="50" w:line="360" w:lineRule="auto"/>
        <w:jc w:val="both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知识产品营销</w:t>
      </w:r>
    </w:p>
    <w:p w:rsidR="001C3163" w:rsidRPr="001F3878" w:rsidRDefault="001C3163" w:rsidP="001C3163">
      <w:pPr>
        <w:numPr>
          <w:ilvl w:val="0"/>
          <w:numId w:val="2"/>
        </w:numPr>
        <w:spacing w:line="276" w:lineRule="auto"/>
        <w:jc w:val="lef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  <w:b/>
          <w:bCs/>
        </w:rPr>
        <w:t xml:space="preserve">  讲师经纪服务：</w:t>
      </w:r>
      <w:r w:rsidRPr="001F3878">
        <w:rPr>
          <w:rFonts w:ascii="微软雅黑" w:eastAsia="微软雅黑" w:hAnsi="微软雅黑" w:cs="Arial"/>
        </w:rPr>
        <w:t>讲师宣传、推荐、行程安排、协同开发课程、授课经验管理、企业满意度管理</w:t>
      </w:r>
    </w:p>
    <w:p w:rsidR="001C3163" w:rsidRPr="001F3878" w:rsidRDefault="001C3163" w:rsidP="001C3163">
      <w:pPr>
        <w:numPr>
          <w:ilvl w:val="0"/>
          <w:numId w:val="5"/>
        </w:numPr>
        <w:spacing w:line="276" w:lineRule="auto"/>
        <w:jc w:val="left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  <w:b/>
          <w:bCs/>
        </w:rPr>
        <w:t xml:space="preserve">  课程产品代理销售：</w:t>
      </w:r>
      <w:r w:rsidRPr="001F3878">
        <w:rPr>
          <w:rFonts w:ascii="微软雅黑" w:eastAsia="微软雅黑" w:hAnsi="微软雅黑" w:cs="Arial"/>
        </w:rPr>
        <w:t>代理兼具理论与应用实务，成熟的，可操作性高的，具有教学专利的课程，课程由经过严格训练并经过授权的全职讲师带领</w:t>
      </w:r>
    </w:p>
    <w:p w:rsidR="001C3163" w:rsidRPr="001F3878" w:rsidRDefault="001C3163" w:rsidP="001C3163">
      <w:pPr>
        <w:spacing w:line="276" w:lineRule="auto"/>
        <w:rPr>
          <w:rFonts w:ascii="微软雅黑" w:eastAsia="微软雅黑" w:hAnsi="微软雅黑" w:cs="Arial"/>
        </w:rPr>
      </w:pPr>
    </w:p>
    <w:p w:rsidR="001C3163" w:rsidRPr="001F3878" w:rsidRDefault="001C3163" w:rsidP="00C473DE">
      <w:pPr>
        <w:pStyle w:val="a6"/>
        <w:spacing w:beforeLines="50" w:line="360" w:lineRule="auto"/>
        <w:jc w:val="both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合作伙伴联盟</w:t>
      </w:r>
    </w:p>
    <w:p w:rsidR="001C3163" w:rsidRPr="001F3878" w:rsidRDefault="001C3163" w:rsidP="001C3163">
      <w:pPr>
        <w:spacing w:line="276" w:lineRule="auto"/>
        <w:ind w:firstLineChars="200" w:firstLine="420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为客户整合行业内优秀的培训机构，让备受肯定的讲师与知识产品能通过多元的管道，至各企业进行经验传承。真正达成传播知识、共享资源的宗旨，促动企业提升人力资本的素质，迈向卓越。并与培训机构相互学习，共同进步与成长！</w:t>
      </w:r>
    </w:p>
    <w:p w:rsidR="001C3163" w:rsidRPr="001F3878" w:rsidRDefault="001C3163" w:rsidP="001C3163">
      <w:pPr>
        <w:spacing w:line="276" w:lineRule="auto"/>
        <w:rPr>
          <w:rFonts w:ascii="微软雅黑" w:eastAsia="微软雅黑" w:hAnsi="微软雅黑" w:cs="Arial"/>
        </w:rPr>
      </w:pPr>
    </w:p>
    <w:p w:rsidR="001C3163" w:rsidRPr="001F3878" w:rsidRDefault="001C3163" w:rsidP="00C473DE">
      <w:pPr>
        <w:pStyle w:val="a6"/>
        <w:spacing w:beforeLines="50" w:line="360" w:lineRule="auto"/>
        <w:jc w:val="both"/>
        <w:rPr>
          <w:rFonts w:ascii="微软雅黑" w:eastAsia="微软雅黑" w:hAnsi="微软雅黑" w:cs="Arial"/>
          <w:b/>
          <w:bCs/>
        </w:rPr>
      </w:pPr>
      <w:r w:rsidRPr="001F3878">
        <w:rPr>
          <w:rFonts w:ascii="微软雅黑" w:eastAsia="微软雅黑" w:hAnsi="微软雅黑" w:cs="Arial"/>
          <w:b/>
          <w:bCs/>
        </w:rPr>
        <w:t>学习社区经营</w:t>
      </w:r>
    </w:p>
    <w:p w:rsidR="001C3163" w:rsidRDefault="001C3163" w:rsidP="001C3163">
      <w:pPr>
        <w:spacing w:line="276" w:lineRule="auto"/>
        <w:ind w:firstLineChars="200" w:firstLine="420"/>
        <w:rPr>
          <w:rFonts w:ascii="微软雅黑" w:eastAsia="微软雅黑" w:hAnsi="微软雅黑" w:cs="Arial"/>
        </w:rPr>
      </w:pPr>
      <w:r w:rsidRPr="001F3878">
        <w:rPr>
          <w:rFonts w:ascii="微软雅黑" w:eastAsia="微软雅黑" w:hAnsi="微软雅黑" w:cs="Arial"/>
        </w:rPr>
        <w:t>为了提供各界精英跨组织的交流平台，并且鼓励经验传承与知识创新，我们将透过各种活动，为经理人拓展信息渠道，提供广阔的职业发展机会，创造商机及契机。</w:t>
      </w:r>
    </w:p>
    <w:p w:rsidR="00216792" w:rsidRDefault="00216792" w:rsidP="001C3163">
      <w:pPr>
        <w:spacing w:line="276" w:lineRule="auto"/>
        <w:ind w:firstLineChars="200" w:firstLine="420"/>
        <w:rPr>
          <w:rFonts w:ascii="微软雅黑" w:eastAsia="微软雅黑" w:hAnsi="微软雅黑" w:cs="Arial"/>
        </w:rPr>
      </w:pPr>
    </w:p>
    <w:p w:rsidR="00216792" w:rsidRDefault="00216792" w:rsidP="001C3163">
      <w:pPr>
        <w:spacing w:line="276" w:lineRule="auto"/>
        <w:ind w:firstLineChars="200" w:firstLine="420"/>
        <w:rPr>
          <w:rFonts w:ascii="微软雅黑" w:eastAsia="微软雅黑" w:hAnsi="微软雅黑" w:cs="Arial"/>
        </w:rPr>
      </w:pPr>
    </w:p>
    <w:p w:rsidR="00216792" w:rsidRPr="00455D66" w:rsidRDefault="007D1692" w:rsidP="00216792">
      <w:pPr>
        <w:pStyle w:val="a"/>
        <w:numPr>
          <w:ilvl w:val="0"/>
          <w:numId w:val="0"/>
        </w:numPr>
        <w:ind w:left="360" w:hanging="360"/>
        <w:rPr>
          <w:rFonts w:ascii="微软雅黑" w:eastAsia="微软雅黑" w:hAnsi="微软雅黑"/>
          <w:b/>
          <w:sz w:val="36"/>
          <w:szCs w:val="36"/>
          <w:lang w:eastAsia="zh-CN"/>
        </w:rPr>
      </w:pPr>
      <w:r>
        <w:rPr>
          <w:rFonts w:ascii="微软雅黑" w:eastAsia="微软雅黑" w:hAnsi="微软雅黑" w:hint="eastAsia"/>
          <w:b/>
          <w:sz w:val="36"/>
          <w:szCs w:val="36"/>
          <w:lang w:eastAsia="zh-CN"/>
        </w:rPr>
        <w:lastRenderedPageBreak/>
        <w:t>我们的客户</w:t>
      </w:r>
    </w:p>
    <w:p w:rsidR="00216792" w:rsidRPr="00E80C0A" w:rsidRDefault="00216792" w:rsidP="00216792">
      <w:pPr>
        <w:pStyle w:val="1"/>
      </w:pPr>
      <w:r>
        <w:rPr>
          <w:rFonts w:ascii="宋体" w:eastAsia="宋体" w:hAnsi="宋体" w:hint="eastAsia"/>
          <w:noProof/>
          <w:sz w:val="21"/>
          <w:szCs w:val="21"/>
        </w:rPr>
        <w:drawing>
          <wp:inline distT="0" distB="0" distL="0" distR="0">
            <wp:extent cx="1619250" cy="37147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1"/>
          <w:szCs w:val="21"/>
        </w:rPr>
        <w:t xml:space="preserve">     </w:t>
      </w:r>
      <w:r>
        <w:rPr>
          <w:rFonts w:ascii="宋体" w:eastAsia="宋体" w:hAnsi="宋体"/>
          <w:noProof/>
          <w:sz w:val="21"/>
          <w:szCs w:val="21"/>
        </w:rPr>
        <w:drawing>
          <wp:inline distT="0" distB="0" distL="0" distR="0">
            <wp:extent cx="1028700" cy="428625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1"/>
          <w:szCs w:val="21"/>
        </w:rPr>
        <w:t xml:space="preserve">        </w:t>
      </w:r>
      <w:r>
        <w:rPr>
          <w:rFonts w:ascii="宋体" w:eastAsia="宋体" w:hAnsi="宋体" w:hint="eastAsia"/>
          <w:noProof/>
          <w:sz w:val="21"/>
          <w:szCs w:val="21"/>
        </w:rPr>
        <w:drawing>
          <wp:inline distT="0" distB="0" distL="0" distR="0">
            <wp:extent cx="1450086" cy="311318"/>
            <wp:effectExtent l="1905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03" cy="31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792" w:rsidRDefault="00216792" w:rsidP="00216792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noProof/>
          <w:szCs w:val="21"/>
        </w:rPr>
        <w:drawing>
          <wp:inline distT="0" distB="0" distL="0" distR="0">
            <wp:extent cx="1209675" cy="400050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       </w:t>
      </w:r>
      <w:r>
        <w:rPr>
          <w:rFonts w:ascii="宋体" w:eastAsia="宋体" w:hAnsi="宋体"/>
          <w:noProof/>
          <w:szCs w:val="21"/>
        </w:rPr>
        <w:drawing>
          <wp:inline distT="0" distB="0" distL="0" distR="0">
            <wp:extent cx="1457325" cy="447675"/>
            <wp:effectExtent l="19050" t="0" r="952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     </w:t>
      </w:r>
      <w:r w:rsidR="00BC5DC9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261110" cy="441849"/>
            <wp:effectExtent l="1905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4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C9" w:rsidRDefault="00216792" w:rsidP="00216792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noProof/>
          <w:szCs w:val="21"/>
        </w:rPr>
        <w:drawing>
          <wp:inline distT="0" distB="0" distL="0" distR="0">
            <wp:extent cx="1371600" cy="381000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       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102644" cy="414528"/>
            <wp:effectExtent l="19050" t="0" r="2256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16" cy="41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             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52450" cy="533400"/>
            <wp:effectExtent l="1905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</w:t>
      </w:r>
    </w:p>
    <w:p w:rsidR="00BC5DC9" w:rsidRPr="00DD210B" w:rsidRDefault="00BC5DC9" w:rsidP="00216792">
      <w:pPr>
        <w:rPr>
          <w:rFonts w:ascii="宋体" w:eastAsia="宋体" w:hAnsi="宋体"/>
          <w:szCs w:val="21"/>
        </w:rPr>
      </w:pPr>
      <w:r>
        <w:rPr>
          <w:rFonts w:eastAsia="宋体" w:hint="eastAsia"/>
          <w:noProof/>
        </w:rPr>
        <w:drawing>
          <wp:inline distT="0" distB="0" distL="0" distR="0">
            <wp:extent cx="1508569" cy="243840"/>
            <wp:effectExtent l="19050" t="0" r="0" b="0"/>
            <wp:docPr id="1" name="图片 61" descr="u=3907242224,2107325488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 descr="u=3907242224,2107325488&amp;fm=21&amp;gp=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68" cy="24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   </w:t>
      </w:r>
      <w:r>
        <w:rPr>
          <w:noProof/>
        </w:rPr>
        <w:drawing>
          <wp:inline distT="0" distB="0" distL="0" distR="0">
            <wp:extent cx="1282770" cy="270790"/>
            <wp:effectExtent l="0" t="0" r="107880" b="53060"/>
            <wp:docPr id="5" name="图片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14" cy="269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          </w:t>
      </w:r>
      <w:r>
        <w:rPr>
          <w:rFonts w:eastAsia="宋体" w:hint="eastAsia"/>
          <w:noProof/>
        </w:rPr>
        <w:drawing>
          <wp:inline distT="0" distB="0" distL="0" distR="0">
            <wp:extent cx="730123" cy="645263"/>
            <wp:effectExtent l="19050" t="0" r="0" b="0"/>
            <wp:docPr id="7" name="图片 64" descr="u=2971039294,1638343015&amp;fm=21&amp;gp=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 descr="u=2971039294,1638343015&amp;fm=21&amp;gp=0[1]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95" cy="64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366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135"/>
        <w:gridCol w:w="1282"/>
        <w:gridCol w:w="1439"/>
        <w:gridCol w:w="900"/>
        <w:gridCol w:w="918"/>
        <w:gridCol w:w="1134"/>
        <w:gridCol w:w="828"/>
        <w:gridCol w:w="1439"/>
      </w:tblGrid>
      <w:tr w:rsidR="00216792" w:rsidRPr="00792C14" w:rsidTr="007A64D8">
        <w:trPr>
          <w:trHeight w:val="1043"/>
          <w:tblCellSpacing w:w="0" w:type="dxa"/>
        </w:trPr>
        <w:tc>
          <w:tcPr>
            <w:tcW w:w="625" w:type="pct"/>
            <w:vAlign w:val="center"/>
          </w:tcPr>
          <w:p w:rsidR="00216792" w:rsidRPr="002B6260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19150" cy="171450"/>
                  <wp:effectExtent l="19050" t="0" r="0" b="0"/>
                  <wp:docPr id="3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E05C5E">
              <w:rPr>
                <w:rFonts w:ascii="Arial" w:eastAsia="宋体" w:hAnsi="Arial" w:cs="宋体" w:hint="eastAsia"/>
                <w:b/>
                <w:bCs/>
                <w:color w:val="FF0000"/>
                <w:sz w:val="18"/>
              </w:rPr>
              <w:t>百资科技</w:t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57225" cy="200025"/>
                  <wp:effectExtent l="19050" t="0" r="9525" b="0"/>
                  <wp:docPr id="35" name="图片 1" descr="中兴通讯首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中兴通讯首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974A1B">
              <w:rPr>
                <w:rFonts w:ascii="Arial" w:eastAsia="宋体" w:hAnsi="Arial" w:cs="宋体" w:hint="eastAsia"/>
                <w:b/>
                <w:bCs/>
                <w:color w:val="FF0000"/>
                <w:sz w:val="18"/>
              </w:rPr>
              <w:t>中兴通讯</w:t>
            </w:r>
          </w:p>
        </w:tc>
        <w:tc>
          <w:tcPr>
            <w:tcW w:w="50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52425" cy="285750"/>
                  <wp:effectExtent l="19050" t="0" r="9525" b="0"/>
                  <wp:docPr id="36" name="图片 46" descr="guangd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6" descr="guangd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974A1B">
              <w:rPr>
                <w:rFonts w:ascii="Arial" w:eastAsia="宋体" w:hAnsi="Arial" w:cs="宋体" w:hint="eastAsia"/>
                <w:b/>
                <w:bCs/>
                <w:color w:val="FF0000"/>
                <w:sz w:val="18"/>
              </w:rPr>
              <w:t>广达计算机</w:t>
            </w:r>
          </w:p>
        </w:tc>
        <w:tc>
          <w:tcPr>
            <w:tcW w:w="45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52425" cy="333375"/>
                  <wp:effectExtent l="19050" t="0" r="9525" b="0"/>
                  <wp:docPr id="37" name="图片 47" descr="chinateleco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7" descr="chinateleco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中国电信</w:t>
            </w:r>
          </w:p>
        </w:tc>
      </w:tr>
      <w:tr w:rsidR="00216792" w:rsidRPr="00792C14" w:rsidTr="007A64D8">
        <w:trPr>
          <w:trHeight w:val="1043"/>
          <w:tblCellSpacing w:w="0" w:type="dxa"/>
        </w:trPr>
        <w:tc>
          <w:tcPr>
            <w:tcW w:w="625" w:type="pct"/>
            <w:vAlign w:val="center"/>
          </w:tcPr>
          <w:p w:rsidR="00216792" w:rsidRPr="002B6260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23900" cy="200025"/>
                  <wp:effectExtent l="19050" t="0" r="0" b="0"/>
                  <wp:docPr id="38" name="图片 48" descr="ace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ace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974A1B">
              <w:rPr>
                <w:rFonts w:ascii="Arial" w:eastAsia="宋体" w:hAnsi="Arial" w:cs="宋体" w:hint="eastAsia"/>
                <w:b/>
                <w:bCs/>
                <w:color w:val="FF0000"/>
                <w:sz w:val="18"/>
              </w:rPr>
              <w:t>宏基电子</w:t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33425" cy="276225"/>
                  <wp:effectExtent l="19050" t="0" r="9525" b="0"/>
                  <wp:docPr id="39" name="图片 49" descr="samun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9" descr="samun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Align w:val="center"/>
          </w:tcPr>
          <w:p w:rsidR="00216792" w:rsidRPr="00E05C5E" w:rsidRDefault="00216792" w:rsidP="007A64D8">
            <w:pPr>
              <w:spacing w:line="240" w:lineRule="atLeast"/>
              <w:rPr>
                <w:rFonts w:ascii="Arial" w:eastAsia="宋体" w:hAnsi="Arial" w:cs="宋体"/>
                <w:b/>
                <w:bCs/>
                <w:color w:val="000000"/>
                <w:sz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三星电子</w:t>
            </w:r>
          </w:p>
        </w:tc>
        <w:tc>
          <w:tcPr>
            <w:tcW w:w="50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38150" cy="180975"/>
                  <wp:effectExtent l="19050" t="0" r="0" b="0"/>
                  <wp:docPr id="40" name="图片 50" descr="HO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HO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特力</w:t>
            </w: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屋</w:t>
            </w:r>
          </w:p>
        </w:tc>
        <w:tc>
          <w:tcPr>
            <w:tcW w:w="45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42900" cy="342900"/>
                  <wp:effectExtent l="19050" t="0" r="0" b="0"/>
                  <wp:docPr id="41" name="图片 51" descr="jinmin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1" descr="jinmin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景铭科技</w:t>
            </w:r>
          </w:p>
        </w:tc>
      </w:tr>
      <w:tr w:rsidR="00216792" w:rsidRPr="00792C14" w:rsidTr="007A64D8">
        <w:trPr>
          <w:trHeight w:val="1309"/>
          <w:tblCellSpacing w:w="0" w:type="dxa"/>
        </w:trPr>
        <w:tc>
          <w:tcPr>
            <w:tcW w:w="625" w:type="pct"/>
            <w:vAlign w:val="center"/>
          </w:tcPr>
          <w:p w:rsidR="00216792" w:rsidRPr="002B6260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866775" cy="361950"/>
                  <wp:effectExtent l="19050" t="0" r="9525" b="0"/>
                  <wp:docPr id="42" name="图片 2" descr="联想计算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联想计算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r="22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D035C6">
              <w:rPr>
                <w:rFonts w:ascii="Arial" w:eastAsia="宋体" w:hAnsi="Arial" w:cs="宋体" w:hint="eastAsia"/>
                <w:b/>
                <w:bCs/>
                <w:color w:val="FF0000"/>
                <w:sz w:val="18"/>
              </w:rPr>
              <w:t>联想集团</w:t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809625" cy="304800"/>
                  <wp:effectExtent l="19050" t="0" r="9525" b="0"/>
                  <wp:docPr id="43" name="图片 3" descr="神州数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神州数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Align w:val="center"/>
          </w:tcPr>
          <w:p w:rsidR="00216792" w:rsidRPr="00AD0252" w:rsidRDefault="00216792" w:rsidP="007A64D8">
            <w:pPr>
              <w:spacing w:line="240" w:lineRule="atLeast"/>
              <w:rPr>
                <w:rFonts w:ascii="Arial" w:eastAsia="宋体" w:hAnsi="Arial" w:cs="宋体"/>
                <w:color w:val="FF0000"/>
                <w:sz w:val="18"/>
                <w:szCs w:val="18"/>
              </w:rPr>
            </w:pPr>
            <w:r w:rsidRPr="00AD0252">
              <w:rPr>
                <w:rFonts w:ascii="Arial" w:eastAsia="宋体" w:hAnsi="Arial" w:cs="宋体" w:hint="eastAsia"/>
                <w:b/>
                <w:bCs/>
                <w:color w:val="FF0000"/>
                <w:sz w:val="18"/>
              </w:rPr>
              <w:t>神州数码</w:t>
            </w:r>
          </w:p>
        </w:tc>
        <w:tc>
          <w:tcPr>
            <w:tcW w:w="50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14325" cy="323850"/>
                  <wp:effectExtent l="19050" t="0" r="9525" b="0"/>
                  <wp:docPr id="44" name="图片 54" descr="yanca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4" descr="yanca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center"/>
          </w:tcPr>
          <w:p w:rsidR="00216792" w:rsidRPr="00E05C5E" w:rsidRDefault="00216792" w:rsidP="007A64D8">
            <w:pPr>
              <w:spacing w:line="240" w:lineRule="atLeast"/>
              <w:rPr>
                <w:rFonts w:ascii="Arial" w:eastAsia="宋体" w:hAnsi="Arial" w:cs="宋体"/>
                <w:b/>
                <w:bCs/>
                <w:color w:val="000000"/>
                <w:sz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上海烟草</w:t>
            </w:r>
          </w:p>
        </w:tc>
        <w:tc>
          <w:tcPr>
            <w:tcW w:w="45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61950" cy="323850"/>
                  <wp:effectExtent l="19050" t="0" r="0" b="0"/>
                  <wp:docPr id="45" name="图片 55" descr="huayin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huayin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华映视讯</w:t>
            </w:r>
          </w:p>
        </w:tc>
      </w:tr>
      <w:tr w:rsidR="00216792" w:rsidRPr="00792C14" w:rsidTr="007A64D8">
        <w:trPr>
          <w:trHeight w:val="1001"/>
          <w:tblCellSpacing w:w="0" w:type="dxa"/>
        </w:trPr>
        <w:tc>
          <w:tcPr>
            <w:tcW w:w="625" w:type="pct"/>
            <w:vAlign w:val="center"/>
          </w:tcPr>
          <w:p w:rsidR="00216792" w:rsidRPr="002B6260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23900" cy="257175"/>
                  <wp:effectExtent l="19050" t="0" r="0" b="0"/>
                  <wp:docPr id="46" name="图片 56" descr="Alcate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 descr="Alcate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贝尔阿尔卡特</w:t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57225" cy="276225"/>
                  <wp:effectExtent l="19050" t="0" r="9525" b="0"/>
                  <wp:docPr id="47" name="图片 4" descr="方正集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方正集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Align w:val="center"/>
          </w:tcPr>
          <w:p w:rsidR="00216792" w:rsidRPr="00974A1B" w:rsidRDefault="00216792" w:rsidP="007A64D8">
            <w:pPr>
              <w:spacing w:line="240" w:lineRule="atLeast"/>
              <w:rPr>
                <w:rFonts w:ascii="Arial" w:eastAsia="宋体" w:hAnsi="Arial" w:cs="宋体"/>
                <w:color w:val="FF0000"/>
                <w:sz w:val="18"/>
                <w:szCs w:val="18"/>
              </w:rPr>
            </w:pPr>
            <w:r w:rsidRPr="00BF7FE2">
              <w:rPr>
                <w:rFonts w:ascii="Arial" w:eastAsia="宋体" w:hAnsi="Arial" w:cs="宋体" w:hint="eastAsia"/>
                <w:b/>
                <w:bCs/>
                <w:color w:val="FF0000"/>
                <w:sz w:val="18"/>
              </w:rPr>
              <w:t>方正集团</w:t>
            </w:r>
          </w:p>
        </w:tc>
        <w:tc>
          <w:tcPr>
            <w:tcW w:w="50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00050" cy="257175"/>
                  <wp:effectExtent l="19050" t="0" r="0" b="0"/>
                  <wp:docPr id="48" name="图片 58" descr="hc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 descr="hc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和成卫浴</w:t>
            </w:r>
          </w:p>
        </w:tc>
        <w:tc>
          <w:tcPr>
            <w:tcW w:w="45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71475" cy="342900"/>
                  <wp:effectExtent l="19050" t="0" r="9525" b="0"/>
                  <wp:docPr id="49" name="图片 59" descr="compa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9" descr="compa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仁宝电子</w:t>
            </w:r>
          </w:p>
        </w:tc>
      </w:tr>
      <w:tr w:rsidR="00216792" w:rsidRPr="00792C14" w:rsidTr="007A64D8">
        <w:trPr>
          <w:trHeight w:val="1434"/>
          <w:tblCellSpacing w:w="0" w:type="dxa"/>
        </w:trPr>
        <w:tc>
          <w:tcPr>
            <w:tcW w:w="625" w:type="pct"/>
            <w:vAlign w:val="center"/>
          </w:tcPr>
          <w:p w:rsidR="00216792" w:rsidRPr="002B6260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33425" cy="228600"/>
                  <wp:effectExtent l="19050" t="0" r="9525" b="0"/>
                  <wp:docPr id="50" name="图片 60" descr="fushikan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0" descr="fushikan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pct"/>
            <w:vAlign w:val="center"/>
          </w:tcPr>
          <w:p w:rsidR="00216792" w:rsidRPr="00E05C5E" w:rsidRDefault="00216792" w:rsidP="007A64D8">
            <w:pPr>
              <w:spacing w:line="240" w:lineRule="atLeast"/>
              <w:rPr>
                <w:rFonts w:ascii="Arial" w:eastAsia="宋体" w:hAnsi="Arial" w:cs="宋体"/>
                <w:sz w:val="18"/>
                <w:szCs w:val="18"/>
              </w:rPr>
            </w:pPr>
            <w:r w:rsidRPr="00E05C5E">
              <w:rPr>
                <w:rFonts w:ascii="Arial" w:eastAsia="宋体" w:hAnsi="Arial" w:cs="宋体" w:hint="eastAsia"/>
                <w:b/>
                <w:bCs/>
                <w:sz w:val="18"/>
              </w:rPr>
              <w:t>富士康</w:t>
            </w:r>
            <w:r w:rsidRPr="00E05C5E">
              <w:rPr>
                <w:rFonts w:ascii="Arial" w:eastAsia="宋体" w:hAnsi="Arial" w:cs="宋体"/>
                <w:b/>
                <w:bCs/>
                <w:sz w:val="18"/>
              </w:rPr>
              <w:t>(</w:t>
            </w:r>
            <w:r w:rsidRPr="00E05C5E">
              <w:rPr>
                <w:rFonts w:ascii="Arial" w:eastAsia="宋体" w:hAnsi="Arial" w:cs="宋体" w:hint="eastAsia"/>
                <w:b/>
                <w:bCs/>
                <w:sz w:val="18"/>
              </w:rPr>
              <w:t>鸿海</w:t>
            </w:r>
            <w:r w:rsidRPr="00E05C5E">
              <w:rPr>
                <w:rFonts w:ascii="Arial" w:eastAsia="宋体" w:hAnsi="Arial" w:cs="宋体"/>
                <w:b/>
                <w:bCs/>
                <w:sz w:val="18"/>
              </w:rPr>
              <w:t>)</w:t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14375" cy="209550"/>
                  <wp:effectExtent l="19050" t="0" r="9525" b="0"/>
                  <wp:docPr id="51" name="图片 61" descr="ril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1" descr="ril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Align w:val="center"/>
          </w:tcPr>
          <w:p w:rsidR="00216792" w:rsidRPr="00D035C6" w:rsidRDefault="00216792" w:rsidP="007A64D8">
            <w:pPr>
              <w:spacing w:line="240" w:lineRule="atLeast"/>
              <w:rPr>
                <w:rFonts w:ascii="Arial" w:eastAsia="宋体" w:hAnsi="Arial" w:cs="宋体"/>
                <w:color w:val="FF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日立电器</w:t>
            </w:r>
          </w:p>
        </w:tc>
        <w:tc>
          <w:tcPr>
            <w:tcW w:w="50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81000" cy="323850"/>
                  <wp:effectExtent l="19050" t="0" r="0" b="0"/>
                  <wp:docPr id="52" name="图片 62" descr="boha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2" descr="boha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渤海石油</w:t>
            </w:r>
          </w:p>
        </w:tc>
        <w:tc>
          <w:tcPr>
            <w:tcW w:w="45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90525" cy="257175"/>
                  <wp:effectExtent l="19050" t="0" r="9525" b="0"/>
                  <wp:docPr id="53" name="图片 63" descr="guota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3" descr="guota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国泰君安证券</w:t>
            </w:r>
          </w:p>
        </w:tc>
      </w:tr>
      <w:tr w:rsidR="00216792" w:rsidRPr="00792C14" w:rsidTr="007A64D8">
        <w:trPr>
          <w:trHeight w:val="1197"/>
          <w:tblCellSpacing w:w="0" w:type="dxa"/>
        </w:trPr>
        <w:tc>
          <w:tcPr>
            <w:tcW w:w="625" w:type="pct"/>
            <w:vAlign w:val="center"/>
          </w:tcPr>
          <w:p w:rsidR="00216792" w:rsidRPr="002B6260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23900" cy="247650"/>
                  <wp:effectExtent l="19050" t="0" r="0" b="0"/>
                  <wp:docPr id="54" name="图片 64" descr="benq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4" descr="benq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明基电子</w:t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04850" cy="190500"/>
                  <wp:effectExtent l="19050" t="0" r="0" b="0"/>
                  <wp:docPr id="55" name="图片 65" descr="au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5" descr="au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友达光电</w:t>
            </w:r>
          </w:p>
        </w:tc>
        <w:tc>
          <w:tcPr>
            <w:tcW w:w="50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33400" cy="342900"/>
                  <wp:effectExtent l="19050" t="0" r="0" b="0"/>
                  <wp:docPr id="56" name="图片 66" descr="jianghua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6" descr="jianghua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江淮汽车</w:t>
            </w:r>
          </w:p>
        </w:tc>
        <w:tc>
          <w:tcPr>
            <w:tcW w:w="45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38150" cy="190500"/>
                  <wp:effectExtent l="19050" t="0" r="0" b="0"/>
                  <wp:docPr id="57" name="图片 67" descr="zhangjian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7" descr="zhangjian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张江集电</w:t>
            </w:r>
          </w:p>
        </w:tc>
      </w:tr>
      <w:tr w:rsidR="00216792" w:rsidRPr="00792C14" w:rsidTr="007A64D8">
        <w:trPr>
          <w:trHeight w:val="1001"/>
          <w:tblCellSpacing w:w="0" w:type="dxa"/>
        </w:trPr>
        <w:tc>
          <w:tcPr>
            <w:tcW w:w="625" w:type="pct"/>
            <w:vAlign w:val="center"/>
          </w:tcPr>
          <w:p w:rsidR="00216792" w:rsidRPr="002B6260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85800" cy="257175"/>
                  <wp:effectExtent l="19050" t="0" r="0" b="0"/>
                  <wp:docPr id="58" name="图片 68" descr="panasoni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8" descr="panasoni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pct"/>
            <w:vAlign w:val="center"/>
          </w:tcPr>
          <w:p w:rsidR="00216792" w:rsidRPr="00E05C5E" w:rsidRDefault="00216792" w:rsidP="007A64D8">
            <w:pPr>
              <w:spacing w:line="240" w:lineRule="atLeast"/>
              <w:rPr>
                <w:rFonts w:ascii="Arial" w:eastAsia="宋体" w:hAnsi="Arial" w:cs="宋体"/>
                <w:b/>
                <w:bCs/>
                <w:color w:val="000000"/>
                <w:sz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松下电器</w:t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00100" cy="200025"/>
                  <wp:effectExtent l="19050" t="0" r="0" b="0"/>
                  <wp:docPr id="59" name="图片 69" descr="gen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9" descr="gente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捷锐</w:t>
            </w:r>
          </w:p>
        </w:tc>
        <w:tc>
          <w:tcPr>
            <w:tcW w:w="50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61950" cy="323850"/>
                  <wp:effectExtent l="19050" t="0" r="0" b="0"/>
                  <wp:docPr id="60" name="图片 70" descr="tsm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0" descr="tsm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台积电</w:t>
            </w:r>
          </w:p>
        </w:tc>
        <w:tc>
          <w:tcPr>
            <w:tcW w:w="456" w:type="pct"/>
            <w:vAlign w:val="center"/>
          </w:tcPr>
          <w:p w:rsidR="00216792" w:rsidRPr="00792C14" w:rsidRDefault="00216792" w:rsidP="007A64D8">
            <w:pPr>
              <w:spacing w:line="240" w:lineRule="atLeast"/>
              <w:jc w:val="righ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90525" cy="352425"/>
                  <wp:effectExtent l="19050" t="0" r="9525" b="0"/>
                  <wp:docPr id="61" name="图片 71" descr="wanban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1" descr="wanban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:rsidR="00216792" w:rsidRPr="00792C14" w:rsidRDefault="00216792" w:rsidP="007A64D8">
            <w:pPr>
              <w:spacing w:line="240" w:lineRule="atLeast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 w:rsidRPr="00792C14">
              <w:rPr>
                <w:rFonts w:ascii="Arial" w:eastAsia="宋体" w:hAnsi="Arial" w:cs="宋体" w:hint="eastAsia"/>
                <w:b/>
                <w:bCs/>
                <w:color w:val="000000"/>
                <w:sz w:val="18"/>
              </w:rPr>
              <w:t>万邦鞋业</w:t>
            </w:r>
          </w:p>
        </w:tc>
      </w:tr>
    </w:tbl>
    <w:p w:rsidR="00DC76C9" w:rsidRPr="001C3163" w:rsidRDefault="00DC76C9"/>
    <w:sectPr w:rsidR="00DC76C9" w:rsidRPr="001C3163" w:rsidSect="00CD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CF" w:rsidRDefault="001C38CF" w:rsidP="001C3163">
      <w:r>
        <w:separator/>
      </w:r>
    </w:p>
  </w:endnote>
  <w:endnote w:type="continuationSeparator" w:id="1">
    <w:p w:rsidR="001C38CF" w:rsidRDefault="001C38CF" w:rsidP="001C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CF" w:rsidRDefault="001C38CF" w:rsidP="001C3163">
      <w:r>
        <w:separator/>
      </w:r>
    </w:p>
  </w:footnote>
  <w:footnote w:type="continuationSeparator" w:id="1">
    <w:p w:rsidR="001C38CF" w:rsidRDefault="001C38CF" w:rsidP="001C3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BC58D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234F4921"/>
    <w:multiLevelType w:val="hybridMultilevel"/>
    <w:tmpl w:val="6972DC14"/>
    <w:lvl w:ilvl="0" w:tplc="040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54EE3"/>
    <w:multiLevelType w:val="hybridMultilevel"/>
    <w:tmpl w:val="33687490"/>
    <w:lvl w:ilvl="0" w:tplc="51DE16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E1830"/>
    <w:multiLevelType w:val="hybridMultilevel"/>
    <w:tmpl w:val="4A3436AE"/>
    <w:lvl w:ilvl="0" w:tplc="300C9AB0">
      <w:start w:val="1"/>
      <w:numFmt w:val="chineseCountingThousand"/>
      <w:lvlText w:val="%1、"/>
      <w:lvlJc w:val="left"/>
      <w:pPr>
        <w:ind w:left="2263" w:hanging="420"/>
      </w:pPr>
    </w:lvl>
    <w:lvl w:ilvl="1" w:tplc="04090019" w:tentative="1">
      <w:start w:val="1"/>
      <w:numFmt w:val="lowerLetter"/>
      <w:lvlText w:val="%2)"/>
      <w:lvlJc w:val="left"/>
      <w:pPr>
        <w:ind w:left="703" w:hanging="420"/>
      </w:pPr>
    </w:lvl>
    <w:lvl w:ilvl="2" w:tplc="0409001B" w:tentative="1">
      <w:start w:val="1"/>
      <w:numFmt w:val="lowerRoman"/>
      <w:lvlText w:val="%3."/>
      <w:lvlJc w:val="right"/>
      <w:pPr>
        <w:ind w:left="1123" w:hanging="420"/>
      </w:pPr>
    </w:lvl>
    <w:lvl w:ilvl="3" w:tplc="0409000F" w:tentative="1">
      <w:start w:val="1"/>
      <w:numFmt w:val="decimal"/>
      <w:lvlText w:val="%4."/>
      <w:lvlJc w:val="left"/>
      <w:pPr>
        <w:ind w:left="1543" w:hanging="420"/>
      </w:pPr>
    </w:lvl>
    <w:lvl w:ilvl="4" w:tplc="04090019" w:tentative="1">
      <w:start w:val="1"/>
      <w:numFmt w:val="lowerLetter"/>
      <w:lvlText w:val="%5)"/>
      <w:lvlJc w:val="left"/>
      <w:pPr>
        <w:ind w:left="1963" w:hanging="420"/>
      </w:pPr>
    </w:lvl>
    <w:lvl w:ilvl="5" w:tplc="0409001B" w:tentative="1">
      <w:start w:val="1"/>
      <w:numFmt w:val="lowerRoman"/>
      <w:lvlText w:val="%6."/>
      <w:lvlJc w:val="right"/>
      <w:pPr>
        <w:ind w:left="2383" w:hanging="420"/>
      </w:pPr>
    </w:lvl>
    <w:lvl w:ilvl="6" w:tplc="0409000F" w:tentative="1">
      <w:start w:val="1"/>
      <w:numFmt w:val="decimal"/>
      <w:lvlText w:val="%7."/>
      <w:lvlJc w:val="left"/>
      <w:pPr>
        <w:ind w:left="2803" w:hanging="420"/>
      </w:pPr>
    </w:lvl>
    <w:lvl w:ilvl="7" w:tplc="04090019" w:tentative="1">
      <w:start w:val="1"/>
      <w:numFmt w:val="lowerLetter"/>
      <w:lvlText w:val="%8)"/>
      <w:lvlJc w:val="left"/>
      <w:pPr>
        <w:ind w:left="3223" w:hanging="420"/>
      </w:pPr>
    </w:lvl>
    <w:lvl w:ilvl="8" w:tplc="0409001B" w:tentative="1">
      <w:start w:val="1"/>
      <w:numFmt w:val="lowerRoman"/>
      <w:lvlText w:val="%9."/>
      <w:lvlJc w:val="right"/>
      <w:pPr>
        <w:ind w:left="3643" w:hanging="420"/>
      </w:pPr>
    </w:lvl>
  </w:abstractNum>
  <w:abstractNum w:abstractNumId="4">
    <w:nsid w:val="3578755A"/>
    <w:multiLevelType w:val="hybridMultilevel"/>
    <w:tmpl w:val="BF8CE82E"/>
    <w:lvl w:ilvl="0" w:tplc="17B4D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A6705E"/>
    <w:multiLevelType w:val="hybridMultilevel"/>
    <w:tmpl w:val="52223D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163"/>
    <w:rsid w:val="001C3163"/>
    <w:rsid w:val="001C38CF"/>
    <w:rsid w:val="00216792"/>
    <w:rsid w:val="003130B7"/>
    <w:rsid w:val="00346C08"/>
    <w:rsid w:val="00390979"/>
    <w:rsid w:val="0047452B"/>
    <w:rsid w:val="004A2DDC"/>
    <w:rsid w:val="005C03B7"/>
    <w:rsid w:val="00702B5D"/>
    <w:rsid w:val="007D1692"/>
    <w:rsid w:val="007F3F19"/>
    <w:rsid w:val="00A418ED"/>
    <w:rsid w:val="00BC5DC9"/>
    <w:rsid w:val="00C473DE"/>
    <w:rsid w:val="00CD41C8"/>
    <w:rsid w:val="00D55DDC"/>
    <w:rsid w:val="00DC76C9"/>
    <w:rsid w:val="00EB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41C8"/>
    <w:pPr>
      <w:widowControl w:val="0"/>
      <w:jc w:val="both"/>
    </w:pPr>
  </w:style>
  <w:style w:type="paragraph" w:styleId="1">
    <w:name w:val="heading 1"/>
    <w:basedOn w:val="a0"/>
    <w:next w:val="a0"/>
    <w:link w:val="1Char"/>
    <w:autoRedefine/>
    <w:qFormat/>
    <w:rsid w:val="00216792"/>
    <w:pPr>
      <w:keepNext/>
      <w:widowControl/>
      <w:tabs>
        <w:tab w:val="left" w:pos="709"/>
      </w:tabs>
      <w:jc w:val="center"/>
      <w:outlineLvl w:val="0"/>
    </w:pPr>
    <w:rPr>
      <w:rFonts w:ascii="微软雅黑" w:eastAsia="微软雅黑" w:hAnsi="微软雅黑" w:cs="Times New Roman"/>
      <w:b/>
      <w:bCs/>
      <w:kern w:val="32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1C3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C3163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1C3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C3163"/>
    <w:rPr>
      <w:sz w:val="18"/>
      <w:szCs w:val="18"/>
    </w:rPr>
  </w:style>
  <w:style w:type="character" w:customStyle="1" w:styleId="1Char">
    <w:name w:val="标题 1 Char"/>
    <w:basedOn w:val="a1"/>
    <w:link w:val="1"/>
    <w:rsid w:val="00216792"/>
    <w:rPr>
      <w:rFonts w:ascii="微软雅黑" w:eastAsia="微软雅黑" w:hAnsi="微软雅黑" w:cs="Times New Roman"/>
      <w:b/>
      <w:bCs/>
      <w:kern w:val="32"/>
      <w:sz w:val="36"/>
      <w:szCs w:val="36"/>
    </w:rPr>
  </w:style>
  <w:style w:type="paragraph" w:customStyle="1" w:styleId="text-orange">
    <w:name w:val="text-orange"/>
    <w:basedOn w:val="a0"/>
    <w:rsid w:val="001C31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9900"/>
      <w:kern w:val="0"/>
      <w:sz w:val="24"/>
      <w:szCs w:val="24"/>
    </w:rPr>
  </w:style>
  <w:style w:type="paragraph" w:customStyle="1" w:styleId="a6">
    <w:name w:val=".."/>
    <w:basedOn w:val="a0"/>
    <w:next w:val="a0"/>
    <w:rsid w:val="001C3163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216792"/>
    <w:pPr>
      <w:widowControl/>
      <w:numPr>
        <w:numId w:val="6"/>
      </w:numPr>
      <w:contextualSpacing/>
      <w:jc w:val="left"/>
    </w:pPr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paragraph" w:styleId="a7">
    <w:name w:val="Balloon Text"/>
    <w:basedOn w:val="a0"/>
    <w:link w:val="Char1"/>
    <w:uiPriority w:val="99"/>
    <w:semiHidden/>
    <w:unhideWhenUsed/>
    <w:rsid w:val="0021679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2167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image" Target="media/image43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226</Words>
  <Characters>1293</Characters>
  <Application>Microsoft Office Word</Application>
  <DocSecurity>0</DocSecurity>
  <Lines>10</Lines>
  <Paragraphs>3</Paragraphs>
  <ScaleCrop>false</ScaleCrop>
  <Company>zfsc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18</cp:revision>
  <dcterms:created xsi:type="dcterms:W3CDTF">2015-10-30T07:03:00Z</dcterms:created>
  <dcterms:modified xsi:type="dcterms:W3CDTF">2016-08-17T01:38:00Z</dcterms:modified>
</cp:coreProperties>
</file>